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FF0000"/>
          <w:szCs w:val="21"/>
        </w:rPr>
      </w:pPr>
      <w:r>
        <w:rPr>
          <w:rFonts w:hint="eastAsia"/>
          <w:color w:val="FF0000"/>
          <w:szCs w:val="21"/>
        </w:rPr>
        <w:t>本文档仅作为《国防科技大学学报》来稿模板，内容不具备逻辑性和真实性。</w:t>
      </w:r>
    </w:p>
    <w:p>
      <w:pPr>
        <w:rPr>
          <w:color w:val="FF0000"/>
          <w:szCs w:val="21"/>
        </w:rPr>
      </w:pPr>
      <w:r>
        <w:rPr>
          <w:rFonts w:hint="eastAsia"/>
          <w:color w:val="FF0000"/>
          <w:szCs w:val="21"/>
        </w:rPr>
        <w:t>（除标题外，中文字体为宋体，英文字体为Times New Roman）</w:t>
      </w:r>
    </w:p>
    <w:p>
      <w:pPr>
        <w:pStyle w:val="2"/>
        <w:spacing w:before="0" w:after="0" w:line="240" w:lineRule="auto"/>
        <w:jc w:val="center"/>
        <w:rPr>
          <w:sz w:val="32"/>
          <w:szCs w:val="32"/>
        </w:rPr>
      </w:pPr>
      <w:r>
        <w:rPr>
          <w:rFonts w:hint="eastAsia" w:ascii="HTJ-PK74820000070-Identity-H" w:hAnsi="Calibri" w:eastAsia="黑体" w:cs="HTJ-PK74820000070-Identity-H"/>
          <w:b w:val="0"/>
          <w:bCs w:val="0"/>
          <w:kern w:val="0"/>
          <w:sz w:val="32"/>
          <w:szCs w:val="32"/>
        </w:rPr>
        <w:t>针对多振源密频及波动线谱主动控制的改进算法及试验</w:t>
      </w:r>
      <w:r>
        <w:rPr>
          <w:rStyle w:val="18"/>
          <w:rFonts w:eastAsia="黑体"/>
          <w:b w:val="0"/>
          <w:bCs w:val="0"/>
          <w:sz w:val="32"/>
          <w:szCs w:val="32"/>
        </w:rPr>
        <w:footnoteReference w:id="0" w:customMarkFollows="1"/>
        <w:sym w:font="Symbol" w:char="F02A"/>
      </w:r>
      <w:r>
        <w:rPr>
          <w:rFonts w:hint="eastAsia" w:ascii="Calibri" w:hAnsi="Calibri" w:eastAsia="黑体"/>
          <w:b w:val="0"/>
          <w:bCs w:val="0"/>
          <w:color w:val="FF0000"/>
          <w:sz w:val="32"/>
          <w:szCs w:val="32"/>
        </w:rPr>
        <w:t>（黑体三号）</w:t>
      </w:r>
    </w:p>
    <w:p>
      <w:pPr>
        <w:jc w:val="center"/>
        <w:rPr>
          <w:sz w:val="24"/>
        </w:rPr>
      </w:pPr>
      <w:r>
        <w:rPr>
          <w:rFonts w:hint="eastAsia"/>
          <w:sz w:val="24"/>
        </w:rPr>
        <w:t>梁厘子</w:t>
      </w:r>
      <w:r>
        <w:rPr>
          <w:rFonts w:hint="eastAsia"/>
          <w:sz w:val="24"/>
          <w:vertAlign w:val="superscript"/>
        </w:rPr>
        <w:t>1</w:t>
      </w:r>
      <w:r>
        <w:rPr>
          <w:rFonts w:hint="eastAsia"/>
          <w:sz w:val="24"/>
        </w:rPr>
        <w:t xml:space="preserve">，杨 </w:t>
      </w:r>
      <w:r>
        <w:rPr>
          <w:sz w:val="24"/>
        </w:rPr>
        <w:t xml:space="preserve"> </w:t>
      </w:r>
      <w:r>
        <w:rPr>
          <w:rFonts w:hint="eastAsia"/>
          <w:sz w:val="24"/>
        </w:rPr>
        <w:t>桃</w:t>
      </w:r>
      <w:r>
        <w:rPr>
          <w:sz w:val="24"/>
          <w:vertAlign w:val="superscript"/>
        </w:rPr>
        <w:t>2</w:t>
      </w:r>
      <w:r>
        <w:rPr>
          <w:rFonts w:hint="eastAsia"/>
          <w:sz w:val="24"/>
        </w:rPr>
        <w:t>，何小白</w:t>
      </w:r>
      <w:r>
        <w:rPr>
          <w:rFonts w:hint="eastAsia"/>
          <w:sz w:val="24"/>
          <w:vertAlign w:val="superscript"/>
        </w:rPr>
        <w:t>1,</w:t>
      </w:r>
      <w:r>
        <w:rPr>
          <w:sz w:val="24"/>
          <w:vertAlign w:val="superscript"/>
        </w:rPr>
        <w:t>2</w:t>
      </w:r>
      <w:r>
        <w:rPr>
          <w:rFonts w:hint="eastAsia"/>
          <w:sz w:val="24"/>
        </w:rPr>
        <w:t>，杨文静</w:t>
      </w:r>
      <w:r>
        <w:rPr>
          <w:rFonts w:hint="eastAsia"/>
          <w:sz w:val="24"/>
          <w:vertAlign w:val="superscript"/>
        </w:rPr>
        <w:t>3</w:t>
      </w:r>
      <w:r>
        <w:rPr>
          <w:rFonts w:hint="eastAsia" w:ascii="Calibri" w:hAnsi="Calibri"/>
          <w:color w:val="FF0000"/>
          <w:sz w:val="24"/>
        </w:rPr>
        <w:t>（小四）</w:t>
      </w:r>
    </w:p>
    <w:p>
      <w:pPr>
        <w:jc w:val="center"/>
        <w:rPr>
          <w:color w:val="000000"/>
          <w:sz w:val="18"/>
          <w:szCs w:val="18"/>
        </w:rPr>
      </w:pPr>
      <w:r>
        <w:rPr>
          <w:rFonts w:hint="eastAsia"/>
          <w:sz w:val="18"/>
          <w:szCs w:val="18"/>
        </w:rPr>
        <w:t>（1. 南京大学 电子科学与工程学院,</w:t>
      </w:r>
      <w:r>
        <w:rPr>
          <w:sz w:val="18"/>
          <w:szCs w:val="18"/>
        </w:rPr>
        <w:t xml:space="preserve"> </w:t>
      </w:r>
      <w:r>
        <w:rPr>
          <w:rFonts w:hint="eastAsia"/>
          <w:sz w:val="18"/>
          <w:szCs w:val="18"/>
        </w:rPr>
        <w:t xml:space="preserve">江苏 南京 </w:t>
      </w:r>
      <w:r>
        <w:rPr>
          <w:color w:val="000000"/>
          <w:sz w:val="18"/>
          <w:szCs w:val="18"/>
        </w:rPr>
        <w:t>21002</w:t>
      </w:r>
      <w:r>
        <w:rPr>
          <w:rFonts w:hint="eastAsia"/>
          <w:color w:val="000000"/>
          <w:sz w:val="18"/>
          <w:szCs w:val="18"/>
        </w:rPr>
        <w:t>3;</w:t>
      </w:r>
      <w:r>
        <w:rPr>
          <w:color w:val="000000"/>
          <w:sz w:val="18"/>
          <w:szCs w:val="18"/>
        </w:rPr>
        <w:t xml:space="preserve"> 2. </w:t>
      </w:r>
      <w:r>
        <w:rPr>
          <w:rFonts w:hint="eastAsia"/>
          <w:color w:val="000000"/>
          <w:sz w:val="18"/>
          <w:szCs w:val="18"/>
        </w:rPr>
        <w:t xml:space="preserve">国防科技大学 计算机学院, 湖南 长沙 </w:t>
      </w:r>
      <w:r>
        <w:rPr>
          <w:color w:val="000000"/>
          <w:sz w:val="18"/>
          <w:szCs w:val="18"/>
        </w:rPr>
        <w:t>410073</w:t>
      </w:r>
      <w:r>
        <w:rPr>
          <w:rFonts w:hint="eastAsia"/>
          <w:color w:val="000000"/>
          <w:sz w:val="18"/>
          <w:szCs w:val="18"/>
        </w:rPr>
        <w:t>;</w:t>
      </w:r>
      <w:r>
        <w:rPr>
          <w:color w:val="000000"/>
          <w:sz w:val="18"/>
          <w:szCs w:val="18"/>
        </w:rPr>
        <w:t xml:space="preserve"> 3</w:t>
      </w:r>
      <w:r>
        <w:rPr>
          <w:rFonts w:hint="eastAsia"/>
          <w:color w:val="000000"/>
          <w:sz w:val="18"/>
          <w:szCs w:val="18"/>
        </w:rPr>
        <w:t>.</w:t>
      </w:r>
      <w:r>
        <w:rPr>
          <w:color w:val="000000"/>
          <w:sz w:val="18"/>
          <w:szCs w:val="18"/>
        </w:rPr>
        <w:t xml:space="preserve"> </w:t>
      </w:r>
      <w:r>
        <w:rPr>
          <w:rFonts w:hint="eastAsia"/>
          <w:color w:val="000000"/>
          <w:sz w:val="18"/>
          <w:szCs w:val="18"/>
        </w:rPr>
        <w:t xml:space="preserve">中国科学院 国家空间科学中心 复杂航天系统电子信息技术重点实验室, 北京 </w:t>
      </w:r>
      <w:r>
        <w:rPr>
          <w:color w:val="000000"/>
          <w:sz w:val="18"/>
          <w:szCs w:val="18"/>
        </w:rPr>
        <w:t>100190）</w:t>
      </w:r>
      <w:r>
        <w:rPr>
          <w:rFonts w:hint="eastAsia"/>
          <w:color w:val="FF0000"/>
          <w:sz w:val="18"/>
          <w:szCs w:val="18"/>
        </w:rPr>
        <w:t>（小五）</w:t>
      </w:r>
    </w:p>
    <w:p>
      <w:pPr>
        <w:ind w:firstLine="354" w:firstLineChars="200"/>
        <w:rPr>
          <w:rFonts w:eastAsia="楷体_GB2312"/>
          <w:sz w:val="18"/>
          <w:szCs w:val="18"/>
        </w:rPr>
      </w:pPr>
      <w:r>
        <w:rPr>
          <w:rFonts w:eastAsia="黑体"/>
          <w:sz w:val="18"/>
          <w:szCs w:val="18"/>
        </w:rPr>
        <w:t>摘</w:t>
      </w:r>
      <w:r>
        <w:rPr>
          <w:rFonts w:hint="eastAsia" w:eastAsia="黑体"/>
          <w:sz w:val="18"/>
          <w:szCs w:val="18"/>
        </w:rPr>
        <w:t xml:space="preserve"> </w:t>
      </w:r>
      <w:r>
        <w:rPr>
          <w:rFonts w:eastAsia="黑体"/>
          <w:sz w:val="18"/>
          <w:szCs w:val="18"/>
        </w:rPr>
        <w:t xml:space="preserve"> 要：</w:t>
      </w:r>
      <w:r>
        <w:rPr>
          <w:rFonts w:hint="eastAsia" w:ascii="Times New Roman" w:hAnsi="Times New Roman" w:eastAsia="宋体" w:cs="Times New Roman"/>
          <w:sz w:val="18"/>
          <w:szCs w:val="18"/>
        </w:rPr>
        <w:t>为了让船舶机械主动隔振装置在线谱频率波动和多振源密频耦合等实船复杂工况下，仍能取得良好的振动线谱主动控制效果，研究了以多通道窄带Fx</w:t>
      </w:r>
      <w:r>
        <w:rPr>
          <w:rFonts w:hint="eastAsia" w:cs="Times New Roman"/>
          <w:sz w:val="18"/>
          <w:szCs w:val="18"/>
          <w:lang w:val="en-US" w:eastAsia="zh-CN"/>
        </w:rPr>
        <w:t>-</w:t>
      </w:r>
      <w:r>
        <w:rPr>
          <w:rFonts w:hint="eastAsia" w:ascii="Times New Roman" w:hAnsi="Times New Roman" w:eastAsia="宋体" w:cs="Times New Roman"/>
          <w:sz w:val="18"/>
          <w:szCs w:val="18"/>
        </w:rPr>
        <w:t>Newton算法为基础的改进算法，提出了窄带滤波相位失真的自适应补偿器，使控制算法对线谱频率波动具有高鲁棒性；研究了多参考信号Fx</w:t>
      </w:r>
      <w:r>
        <w:rPr>
          <w:rFonts w:hint="eastAsia" w:cs="Times New Roman"/>
          <w:sz w:val="18"/>
          <w:szCs w:val="18"/>
          <w:lang w:val="en-US" w:eastAsia="zh-CN"/>
        </w:rPr>
        <w:t>-</w:t>
      </w:r>
      <w:r>
        <w:rPr>
          <w:rFonts w:hint="eastAsia" w:ascii="Times New Roman" w:hAnsi="Times New Roman" w:eastAsia="宋体" w:cs="Times New Roman"/>
          <w:sz w:val="18"/>
          <w:szCs w:val="18"/>
        </w:rPr>
        <w:t>Newton算法，从多振源分离提取互不相关的多参考信号，从而解决多振源密频线谱控制难题。实验结果表明，改进窄带Fx</w:t>
      </w:r>
      <w:r>
        <w:rPr>
          <w:rFonts w:hint="eastAsia" w:cs="Times New Roman"/>
          <w:sz w:val="18"/>
          <w:szCs w:val="18"/>
          <w:lang w:val="en-US" w:eastAsia="zh-CN"/>
        </w:rPr>
        <w:t>-</w:t>
      </w:r>
      <w:r>
        <w:rPr>
          <w:rFonts w:hint="eastAsia" w:ascii="Times New Roman" w:hAnsi="Times New Roman" w:eastAsia="宋体" w:cs="Times New Roman"/>
          <w:sz w:val="18"/>
          <w:szCs w:val="18"/>
        </w:rPr>
        <w:t>Newton算法对频率波动线谱的主动控制效果良好，并且对两个激振器或两台空压机组激励出的密频波动线谱也能进行稳定、高效的主动控制</w:t>
      </w:r>
      <w:r>
        <w:rPr>
          <w:rFonts w:hint="eastAsia" w:cs="Times New Roman"/>
          <w:sz w:val="18"/>
          <w:szCs w:val="18"/>
          <w:lang w:eastAsia="zh-CN"/>
        </w:rPr>
        <w:t>。</w:t>
      </w:r>
      <w:r>
        <w:rPr>
          <w:rFonts w:hint="default" w:ascii="Times New Roman" w:hAnsi="Times New Roman" w:eastAsia="宋体" w:cs="Times New Roman"/>
          <w:color w:val="FF0000"/>
          <w:sz w:val="18"/>
          <w:szCs w:val="18"/>
          <w:lang w:eastAsia="zh-CN"/>
        </w:rPr>
        <w:t>（</w:t>
      </w:r>
      <w:r>
        <w:rPr>
          <w:rFonts w:hint="default" w:ascii="Times New Roman" w:hAnsi="Times New Roman" w:eastAsia="宋体" w:cs="Times New Roman"/>
          <w:color w:val="FF0000"/>
          <w:sz w:val="18"/>
          <w:szCs w:val="18"/>
          <w:lang w:val="en-US" w:eastAsia="zh-CN"/>
        </w:rPr>
        <w:t>简述本文的研究目的、内容、结果及结论，200~300字</w:t>
      </w:r>
      <w:r>
        <w:rPr>
          <w:rFonts w:hint="default" w:ascii="Times New Roman" w:hAnsi="Times New Roman" w:eastAsia="宋体" w:cs="Times New Roman"/>
          <w:color w:val="FF0000"/>
          <w:sz w:val="18"/>
          <w:szCs w:val="18"/>
          <w:lang w:eastAsia="zh-CN"/>
        </w:rPr>
        <w:t>）</w:t>
      </w:r>
      <w:r>
        <w:rPr>
          <w:rFonts w:hint="default" w:ascii="Times New Roman" w:hAnsi="Times New Roman" w:eastAsia="宋体" w:cs="Times New Roman"/>
          <w:color w:val="FF0000"/>
          <w:sz w:val="18"/>
          <w:szCs w:val="18"/>
        </w:rPr>
        <w:t>（</w:t>
      </w:r>
      <w:r>
        <w:rPr>
          <w:rFonts w:hint="eastAsia"/>
          <w:color w:val="FF0000"/>
          <w:sz w:val="18"/>
          <w:szCs w:val="18"/>
        </w:rPr>
        <w:t>小五）</w:t>
      </w:r>
    </w:p>
    <w:p>
      <w:pPr>
        <w:ind w:firstLine="354" w:firstLineChars="200"/>
        <w:rPr>
          <w:rFonts w:eastAsia="楷体_GB2312"/>
          <w:sz w:val="18"/>
          <w:szCs w:val="18"/>
        </w:rPr>
      </w:pPr>
      <w:r>
        <w:rPr>
          <w:rFonts w:eastAsia="黑体"/>
          <w:sz w:val="18"/>
          <w:szCs w:val="18"/>
        </w:rPr>
        <w:t>关键词</w:t>
      </w:r>
      <w:r>
        <w:rPr>
          <w:rFonts w:eastAsia="黑体"/>
          <w:b/>
          <w:sz w:val="18"/>
          <w:szCs w:val="18"/>
        </w:rPr>
        <w:t>：</w:t>
      </w:r>
      <w:r>
        <w:rPr>
          <w:rFonts w:hint="eastAsia"/>
          <w:sz w:val="18"/>
          <w:szCs w:val="18"/>
        </w:rPr>
        <w:t>动态频谱接入；频谱感知；在线学习；满意折现汤普森抽样</w:t>
      </w:r>
      <w:r>
        <w:rPr>
          <w:rFonts w:hint="eastAsia"/>
          <w:color w:val="FF0000"/>
          <w:sz w:val="18"/>
          <w:szCs w:val="18"/>
        </w:rPr>
        <w:t>（小五）</w:t>
      </w:r>
    </w:p>
    <w:p>
      <w:pPr>
        <w:ind w:firstLine="354" w:firstLineChars="200"/>
        <w:rPr>
          <w:sz w:val="18"/>
          <w:szCs w:val="18"/>
        </w:rPr>
      </w:pPr>
      <w:r>
        <w:rPr>
          <w:rFonts w:eastAsia="黑体"/>
          <w:sz w:val="18"/>
          <w:szCs w:val="18"/>
        </w:rPr>
        <w:t>中图分类号</w:t>
      </w:r>
      <w:r>
        <w:rPr>
          <w:b/>
          <w:sz w:val="18"/>
          <w:szCs w:val="18"/>
        </w:rPr>
        <w:t>：</w:t>
      </w:r>
      <w:r>
        <w:rPr>
          <w:sz w:val="18"/>
          <w:szCs w:val="18"/>
        </w:rPr>
        <w:t xml:space="preserve">TN95      </w:t>
      </w:r>
      <w:r>
        <w:rPr>
          <w:rFonts w:eastAsia="黑体"/>
          <w:sz w:val="18"/>
          <w:szCs w:val="18"/>
        </w:rPr>
        <w:t>文献标志码</w:t>
      </w:r>
      <w:r>
        <w:rPr>
          <w:rFonts w:eastAsia="黑体"/>
          <w:b/>
          <w:sz w:val="18"/>
          <w:szCs w:val="18"/>
        </w:rPr>
        <w:t>：</w:t>
      </w:r>
      <w:r>
        <w:rPr>
          <w:rFonts w:hint="eastAsia"/>
          <w:sz w:val="18"/>
          <w:szCs w:val="18"/>
        </w:rPr>
        <w:t>A</w:t>
      </w:r>
      <w:r>
        <w:rPr>
          <w:sz w:val="18"/>
          <w:szCs w:val="18"/>
        </w:rPr>
        <w:t xml:space="preserve">     </w:t>
      </w:r>
      <w:r>
        <w:rPr>
          <w:rFonts w:eastAsia="黑体"/>
          <w:sz w:val="18"/>
          <w:szCs w:val="18"/>
        </w:rPr>
        <w:t>文章编号</w:t>
      </w:r>
      <w:r>
        <w:rPr>
          <w:sz w:val="18"/>
          <w:szCs w:val="18"/>
        </w:rPr>
        <w:t>：</w:t>
      </w:r>
      <w:r>
        <w:rPr>
          <w:rFonts w:hint="eastAsia"/>
          <w:sz w:val="18"/>
          <w:szCs w:val="18"/>
        </w:rPr>
        <w:t xml:space="preserve">                </w:t>
      </w:r>
      <w:r>
        <w:rPr>
          <w:rFonts w:hint="eastAsia"/>
          <w:color w:val="FF0000"/>
          <w:sz w:val="18"/>
          <w:szCs w:val="18"/>
        </w:rPr>
        <w:t>（小五）</w:t>
      </w:r>
    </w:p>
    <w:p>
      <w:pPr>
        <w:keepNext/>
        <w:keepLines/>
        <w:snapToGrid w:val="0"/>
        <w:spacing w:before="156" w:beforeLines="50" w:after="156" w:afterLines="50"/>
        <w:jc w:val="center"/>
        <w:outlineLvl w:val="0"/>
        <w:rPr>
          <w:b/>
          <w:bCs/>
          <w:kern w:val="44"/>
          <w:sz w:val="32"/>
          <w:szCs w:val="32"/>
        </w:rPr>
      </w:pPr>
      <w:r>
        <w:rPr>
          <w:b/>
          <w:bCs/>
          <w:kern w:val="44"/>
          <w:sz w:val="32"/>
          <w:szCs w:val="32"/>
        </w:rPr>
        <w:t>Online optimal selection of spectrum sensing orde</w:t>
      </w:r>
      <w:r>
        <w:rPr>
          <w:rFonts w:hint="eastAsia"/>
          <w:b/>
          <w:bCs/>
          <w:kern w:val="44"/>
          <w:sz w:val="32"/>
          <w:szCs w:val="32"/>
        </w:rPr>
        <w:t>r</w:t>
      </w:r>
      <w:r>
        <w:rPr>
          <w:rFonts w:hint="eastAsia" w:ascii="Calibri" w:hAnsi="Calibri"/>
          <w:b/>
          <w:bCs/>
          <w:color w:val="FF0000"/>
          <w:kern w:val="44"/>
          <w:sz w:val="32"/>
          <w:szCs w:val="32"/>
          <w:lang w:val="zh-CN"/>
        </w:rPr>
        <w:t>（三号，加粗）</w:t>
      </w:r>
    </w:p>
    <w:p>
      <w:pPr>
        <w:jc w:val="center"/>
        <w:rPr>
          <w:i/>
          <w:iCs/>
          <w:sz w:val="24"/>
          <w:lang w:val="de-DE"/>
        </w:rPr>
      </w:pPr>
      <w:r>
        <w:rPr>
          <w:i/>
          <w:iCs/>
          <w:sz w:val="24"/>
          <w:lang w:val="de-DE"/>
        </w:rPr>
        <w:t>LIANG L</w:t>
      </w:r>
      <w:r>
        <w:rPr>
          <w:rFonts w:hint="eastAsia"/>
          <w:i/>
          <w:iCs/>
          <w:sz w:val="24"/>
          <w:lang w:val="de-DE"/>
        </w:rPr>
        <w:t>i</w:t>
      </w:r>
      <w:r>
        <w:rPr>
          <w:i/>
          <w:iCs/>
          <w:sz w:val="24"/>
          <w:lang w:val="de-DE"/>
        </w:rPr>
        <w:t>zi</w:t>
      </w:r>
      <w:r>
        <w:rPr>
          <w:i/>
          <w:iCs/>
          <w:sz w:val="24"/>
          <w:vertAlign w:val="superscript"/>
          <w:lang w:val="de-DE"/>
        </w:rPr>
        <w:t>1</w:t>
      </w:r>
      <w:r>
        <w:rPr>
          <w:i/>
          <w:iCs/>
          <w:sz w:val="24"/>
          <w:lang w:val="de-DE"/>
        </w:rPr>
        <w:t>, YANG Tao</w:t>
      </w:r>
      <w:r>
        <w:rPr>
          <w:i/>
          <w:iCs/>
          <w:sz w:val="24"/>
          <w:vertAlign w:val="superscript"/>
          <w:lang w:val="de-DE"/>
        </w:rPr>
        <w:t>2</w:t>
      </w:r>
      <w:r>
        <w:rPr>
          <w:i/>
          <w:iCs/>
          <w:sz w:val="24"/>
          <w:lang w:val="de-DE"/>
        </w:rPr>
        <w:t>, HE Xiaobai</w:t>
      </w:r>
      <w:r>
        <w:rPr>
          <w:i/>
          <w:iCs/>
          <w:sz w:val="24"/>
          <w:vertAlign w:val="superscript"/>
          <w:lang w:val="de-DE"/>
        </w:rPr>
        <w:t>1,2</w:t>
      </w:r>
      <w:r>
        <w:rPr>
          <w:i/>
          <w:iCs/>
          <w:sz w:val="24"/>
          <w:lang w:val="de-DE"/>
        </w:rPr>
        <w:t>, YANG Wenjing</w:t>
      </w:r>
      <w:r>
        <w:rPr>
          <w:i/>
          <w:iCs/>
          <w:sz w:val="24"/>
          <w:vertAlign w:val="superscript"/>
          <w:lang w:val="de-DE"/>
        </w:rPr>
        <w:t>3</w:t>
      </w:r>
      <w:r>
        <w:rPr>
          <w:rFonts w:hint="eastAsia" w:ascii="Calibri" w:hAnsi="Calibri"/>
          <w:i/>
          <w:iCs/>
          <w:color w:val="FF0000"/>
          <w:sz w:val="24"/>
        </w:rPr>
        <w:t>（小四）</w:t>
      </w:r>
    </w:p>
    <w:p>
      <w:pPr>
        <w:jc w:val="center"/>
        <w:rPr>
          <w:sz w:val="18"/>
          <w:szCs w:val="18"/>
          <w:lang w:val="de-DE"/>
        </w:rPr>
      </w:pPr>
      <w:r>
        <w:rPr>
          <w:sz w:val="18"/>
          <w:szCs w:val="18"/>
          <w:lang w:val="de-DE"/>
        </w:rPr>
        <w:t>(1. School of Electronic Science and Engineering, Nanjing University, Nanjing 210023,</w:t>
      </w:r>
      <w:r>
        <w:rPr>
          <w:color w:val="000000"/>
          <w:sz w:val="18"/>
          <w:szCs w:val="18"/>
          <w:lang w:val="de-DE"/>
        </w:rPr>
        <w:t xml:space="preserve"> Chin</w:t>
      </w:r>
      <w:r>
        <w:rPr>
          <w:rFonts w:hint="eastAsia"/>
          <w:color w:val="000000"/>
          <w:sz w:val="18"/>
          <w:szCs w:val="18"/>
          <w:lang w:val="de-DE"/>
        </w:rPr>
        <w:t>a</w:t>
      </w:r>
      <w:r>
        <w:rPr>
          <w:color w:val="000000"/>
          <w:sz w:val="18"/>
          <w:szCs w:val="18"/>
          <w:lang w:val="de-DE"/>
        </w:rPr>
        <w:t>; 2. College of Computer Science and Technology, National Unibersity of Defense Technology, Changsha 410073, China; 3. Key Laboratory of Electronics and Information Technology for Space Systems, National Space Science Center, Chinese Academy of Sciences, Beijing 100192, China)</w:t>
      </w:r>
      <w:r>
        <w:rPr>
          <w:rFonts w:hint="eastAsia"/>
          <w:color w:val="FF0000"/>
          <w:sz w:val="18"/>
          <w:szCs w:val="18"/>
          <w:lang w:val="de-DE"/>
        </w:rPr>
        <w:t>（</w:t>
      </w:r>
      <w:r>
        <w:rPr>
          <w:rFonts w:hint="eastAsia"/>
          <w:color w:val="FF0000"/>
          <w:sz w:val="18"/>
          <w:szCs w:val="18"/>
        </w:rPr>
        <w:t>小五</w:t>
      </w:r>
      <w:r>
        <w:rPr>
          <w:rFonts w:hint="eastAsia"/>
          <w:color w:val="FF0000"/>
          <w:sz w:val="18"/>
          <w:szCs w:val="18"/>
          <w:lang w:val="de-DE"/>
        </w:rPr>
        <w:t>）</w:t>
      </w:r>
    </w:p>
    <w:p>
      <w:pPr>
        <w:ind w:firstLine="354" w:firstLineChars="200"/>
        <w:rPr>
          <w:rFonts w:eastAsia="楷体_GB2312"/>
          <w:sz w:val="18"/>
          <w:szCs w:val="18"/>
        </w:rPr>
      </w:pPr>
      <w:r>
        <w:rPr>
          <w:rFonts w:eastAsia="黑体"/>
          <w:b/>
          <w:sz w:val="18"/>
          <w:szCs w:val="18"/>
          <w:lang w:val="de-DE"/>
        </w:rPr>
        <w:t xml:space="preserve">Abstract: </w:t>
      </w:r>
      <w:r>
        <w:rPr>
          <w:rFonts w:eastAsia="楷体_GB2312"/>
          <w:color w:val="000000"/>
          <w:sz w:val="18"/>
          <w:szCs w:val="18"/>
          <w:lang w:val="de-DE"/>
        </w:rPr>
        <w:t xml:space="preserve">Dynamic spectrum access is deemed as an effective solution to the radio spectrum scarcity and spectrum usage in efficiency </w:t>
      </w:r>
      <w:r>
        <w:rPr>
          <w:rFonts w:eastAsia="楷体_GB2312"/>
          <w:color w:val="000000"/>
          <w:sz w:val="18"/>
          <w:szCs w:val="18"/>
        </w:rPr>
        <w:t>problem, which allows secondary users to access the spectrum dynamically for data transmission when the licensed spectrum is idle. However, spectrum sensing is one of the key challenges for dynamic spectrum access. Since the secondary user was equipped with limited sensing capability, in order to obtain more spectrum access opportunities, the spectrum sensing order problem was investigated to find the frequency band with the highest probability of being idle as soon as possible. Considering that the probability of the spectrum being idle was not available for the secondary users and changes o</w:t>
      </w:r>
      <w:r>
        <w:rPr>
          <w:rFonts w:hint="eastAsia" w:eastAsia="楷体_GB2312"/>
          <w:color w:val="000000"/>
          <w:sz w:val="18"/>
          <w:szCs w:val="18"/>
        </w:rPr>
        <w:t>ver</w:t>
      </w:r>
      <w:r>
        <w:rPr>
          <w:rFonts w:eastAsia="楷体_GB2312"/>
          <w:color w:val="000000"/>
          <w:sz w:val="18"/>
          <w:szCs w:val="18"/>
        </w:rPr>
        <w:t xml:space="preserve"> </w:t>
      </w:r>
      <w:r>
        <w:rPr>
          <w:rFonts w:hint="eastAsia" w:eastAsia="楷体_GB2312"/>
          <w:color w:val="000000"/>
          <w:sz w:val="18"/>
          <w:szCs w:val="18"/>
        </w:rPr>
        <w:t>time,</w:t>
      </w:r>
      <w:r>
        <w:rPr>
          <w:rFonts w:eastAsia="楷体_GB2312"/>
          <w:color w:val="000000"/>
          <w:sz w:val="18"/>
          <w:szCs w:val="18"/>
        </w:rPr>
        <w:t xml:space="preserve"> </w:t>
      </w:r>
      <w:r>
        <w:rPr>
          <w:rFonts w:hint="eastAsia" w:eastAsia="楷体_GB2312"/>
          <w:color w:val="000000"/>
          <w:sz w:val="18"/>
          <w:szCs w:val="18"/>
        </w:rPr>
        <w:t>an</w:t>
      </w:r>
      <w:r>
        <w:rPr>
          <w:rFonts w:eastAsia="楷体_GB2312"/>
          <w:color w:val="000000"/>
          <w:sz w:val="18"/>
          <w:szCs w:val="18"/>
        </w:rPr>
        <w:t xml:space="preserve"> </w:t>
      </w:r>
      <w:r>
        <w:rPr>
          <w:rFonts w:hint="eastAsia" w:eastAsia="楷体_GB2312"/>
          <w:color w:val="000000"/>
          <w:sz w:val="18"/>
          <w:szCs w:val="18"/>
        </w:rPr>
        <w:t>online</w:t>
      </w:r>
      <w:r>
        <w:rPr>
          <w:rFonts w:eastAsia="楷体_GB2312"/>
          <w:color w:val="000000"/>
          <w:sz w:val="18"/>
          <w:szCs w:val="18"/>
        </w:rPr>
        <w:t xml:space="preserve"> </w:t>
      </w:r>
      <w:r>
        <w:rPr>
          <w:rFonts w:hint="eastAsia" w:eastAsia="楷体_GB2312"/>
          <w:color w:val="000000"/>
          <w:sz w:val="18"/>
          <w:szCs w:val="18"/>
        </w:rPr>
        <w:t>learning</w:t>
      </w:r>
      <w:r>
        <w:rPr>
          <w:rFonts w:eastAsia="楷体_GB2312"/>
          <w:color w:val="000000"/>
          <w:sz w:val="18"/>
          <w:szCs w:val="18"/>
        </w:rPr>
        <w:t xml:space="preserve"> </w:t>
      </w:r>
      <w:r>
        <w:rPr>
          <w:rFonts w:hint="eastAsia" w:eastAsia="楷体_GB2312"/>
          <w:color w:val="000000"/>
          <w:sz w:val="18"/>
          <w:szCs w:val="18"/>
        </w:rPr>
        <w:t>framework</w:t>
      </w:r>
      <w:r>
        <w:rPr>
          <w:rFonts w:eastAsia="楷体_GB2312"/>
          <w:color w:val="000000"/>
          <w:sz w:val="18"/>
          <w:szCs w:val="18"/>
        </w:rPr>
        <w:t xml:space="preserve"> </w:t>
      </w:r>
      <w:r>
        <w:rPr>
          <w:rFonts w:hint="eastAsia" w:eastAsia="楷体_GB2312"/>
          <w:color w:val="000000"/>
          <w:sz w:val="18"/>
          <w:szCs w:val="18"/>
        </w:rPr>
        <w:t>in</w:t>
      </w:r>
      <w:r>
        <w:rPr>
          <w:rFonts w:eastAsia="楷体_GB2312"/>
          <w:color w:val="000000"/>
          <w:sz w:val="18"/>
          <w:szCs w:val="18"/>
        </w:rPr>
        <w:t xml:space="preserve"> </w:t>
      </w:r>
      <w:r>
        <w:rPr>
          <w:rFonts w:hint="eastAsia" w:eastAsia="楷体_GB2312"/>
          <w:color w:val="000000"/>
          <w:sz w:val="18"/>
          <w:szCs w:val="18"/>
        </w:rPr>
        <w:t>which</w:t>
      </w:r>
      <w:r>
        <w:rPr>
          <w:rFonts w:eastAsia="楷体_GB2312"/>
          <w:color w:val="000000"/>
          <w:sz w:val="18"/>
          <w:szCs w:val="18"/>
        </w:rPr>
        <w:t xml:space="preserve"> </w:t>
      </w:r>
      <w:r>
        <w:rPr>
          <w:rFonts w:hint="eastAsia" w:eastAsia="楷体_GB2312"/>
          <w:color w:val="000000"/>
          <w:sz w:val="18"/>
          <w:szCs w:val="18"/>
        </w:rPr>
        <w:t>the</w:t>
      </w:r>
      <w:r>
        <w:rPr>
          <w:rFonts w:eastAsia="楷体_GB2312"/>
          <w:color w:val="000000"/>
          <w:sz w:val="18"/>
          <w:szCs w:val="18"/>
        </w:rPr>
        <w:t xml:space="preserve"> </w:t>
      </w:r>
      <w:r>
        <w:rPr>
          <w:rFonts w:hint="eastAsia" w:eastAsia="楷体_GB2312"/>
          <w:color w:val="000000"/>
          <w:sz w:val="18"/>
          <w:szCs w:val="18"/>
        </w:rPr>
        <w:t>spectrum</w:t>
      </w:r>
      <w:r>
        <w:rPr>
          <w:rFonts w:eastAsia="楷体_GB2312"/>
          <w:color w:val="000000"/>
          <w:sz w:val="18"/>
          <w:szCs w:val="18"/>
        </w:rPr>
        <w:t xml:space="preserve"> </w:t>
      </w:r>
      <w:r>
        <w:rPr>
          <w:rFonts w:hint="eastAsia" w:eastAsia="楷体_GB2312"/>
          <w:color w:val="000000"/>
          <w:sz w:val="18"/>
          <w:szCs w:val="18"/>
        </w:rPr>
        <w:t>sensing</w:t>
      </w:r>
      <w:r>
        <w:rPr>
          <w:rFonts w:eastAsia="楷体_GB2312"/>
          <w:color w:val="000000"/>
          <w:sz w:val="18"/>
          <w:szCs w:val="18"/>
        </w:rPr>
        <w:t xml:space="preserve"> </w:t>
      </w:r>
      <w:r>
        <w:rPr>
          <w:rFonts w:hint="eastAsia" w:eastAsia="楷体_GB2312"/>
          <w:color w:val="000000"/>
          <w:sz w:val="18"/>
          <w:szCs w:val="18"/>
        </w:rPr>
        <w:t>order</w:t>
      </w:r>
      <w:r>
        <w:rPr>
          <w:rFonts w:eastAsia="楷体_GB2312"/>
          <w:color w:val="000000"/>
          <w:sz w:val="18"/>
          <w:szCs w:val="18"/>
        </w:rPr>
        <w:t xml:space="preserve"> </w:t>
      </w:r>
      <w:r>
        <w:rPr>
          <w:rFonts w:hint="eastAsia" w:eastAsia="楷体_GB2312"/>
          <w:color w:val="000000"/>
          <w:sz w:val="18"/>
          <w:szCs w:val="18"/>
        </w:rPr>
        <w:t>problem</w:t>
      </w:r>
      <w:r>
        <w:rPr>
          <w:rFonts w:eastAsia="楷体_GB2312"/>
          <w:color w:val="000000"/>
          <w:sz w:val="18"/>
          <w:szCs w:val="18"/>
        </w:rPr>
        <w:t xml:space="preserve"> </w:t>
      </w:r>
      <w:r>
        <w:rPr>
          <w:rFonts w:hint="eastAsia" w:eastAsia="楷体_GB2312"/>
          <w:color w:val="000000"/>
          <w:sz w:val="18"/>
          <w:szCs w:val="18"/>
        </w:rPr>
        <w:t>was</w:t>
      </w:r>
      <w:r>
        <w:rPr>
          <w:rFonts w:eastAsia="楷体_GB2312"/>
          <w:color w:val="000000"/>
          <w:sz w:val="18"/>
          <w:szCs w:val="18"/>
        </w:rPr>
        <w:t xml:space="preserve"> </w:t>
      </w:r>
      <w:r>
        <w:rPr>
          <w:rFonts w:hint="eastAsia" w:eastAsia="楷体_GB2312"/>
          <w:color w:val="000000"/>
          <w:sz w:val="18"/>
          <w:szCs w:val="18"/>
        </w:rPr>
        <w:t>formulated</w:t>
      </w:r>
      <w:r>
        <w:rPr>
          <w:rFonts w:eastAsia="楷体_GB2312"/>
          <w:color w:val="000000"/>
          <w:sz w:val="18"/>
          <w:szCs w:val="18"/>
        </w:rPr>
        <w:t xml:space="preserve"> </w:t>
      </w:r>
      <w:r>
        <w:rPr>
          <w:rFonts w:hint="eastAsia" w:eastAsia="楷体_GB2312"/>
          <w:color w:val="000000"/>
          <w:sz w:val="18"/>
          <w:szCs w:val="18"/>
        </w:rPr>
        <w:t>as</w:t>
      </w:r>
      <w:r>
        <w:rPr>
          <w:rFonts w:eastAsia="楷体_GB2312"/>
          <w:color w:val="000000"/>
          <w:sz w:val="18"/>
          <w:szCs w:val="18"/>
        </w:rPr>
        <w:t xml:space="preserve"> </w:t>
      </w:r>
      <w:r>
        <w:rPr>
          <w:rFonts w:hint="eastAsia" w:eastAsia="楷体_GB2312"/>
          <w:color w:val="000000"/>
          <w:sz w:val="18"/>
          <w:szCs w:val="18"/>
        </w:rPr>
        <w:t>a</w:t>
      </w:r>
      <w:r>
        <w:rPr>
          <w:rFonts w:eastAsia="楷体_GB2312"/>
          <w:color w:val="000000"/>
          <w:sz w:val="18"/>
          <w:szCs w:val="18"/>
        </w:rPr>
        <w:t xml:space="preserve"> </w:t>
      </w:r>
      <w:r>
        <w:rPr>
          <w:rFonts w:hint="eastAsia" w:eastAsia="楷体_GB2312"/>
          <w:color w:val="000000"/>
          <w:sz w:val="18"/>
          <w:szCs w:val="18"/>
        </w:rPr>
        <w:t>classical</w:t>
      </w:r>
      <w:r>
        <w:rPr>
          <w:rFonts w:eastAsia="楷体_GB2312"/>
          <w:color w:val="000000"/>
          <w:sz w:val="18"/>
          <w:szCs w:val="18"/>
        </w:rPr>
        <w:t xml:space="preserve"> </w:t>
      </w:r>
      <w:r>
        <w:rPr>
          <w:rFonts w:hint="eastAsia" w:eastAsia="楷体_GB2312"/>
          <w:color w:val="000000"/>
          <w:sz w:val="18"/>
          <w:szCs w:val="18"/>
        </w:rPr>
        <w:t>multi-armed</w:t>
      </w:r>
      <w:r>
        <w:rPr>
          <w:rFonts w:eastAsia="楷体_GB2312"/>
          <w:color w:val="000000"/>
          <w:sz w:val="18"/>
          <w:szCs w:val="18"/>
        </w:rPr>
        <w:t xml:space="preserve"> bandit problem was proposed, and it was addressed by using an online learning method, referred to as satisficing discounted Thompson sampling. Simulation results indicate that compared with other algorithms, the proposed algorithm yields more spectrum opportunities and can track the changes of the probability of the spectrum being idle.</w:t>
      </w:r>
      <w:r>
        <w:rPr>
          <w:rFonts w:hint="eastAsia"/>
          <w:color w:val="000000"/>
          <w:sz w:val="18"/>
          <w:szCs w:val="18"/>
        </w:rPr>
        <w:t xml:space="preserve"> </w:t>
      </w:r>
      <w:r>
        <w:rPr>
          <w:rFonts w:hint="eastAsia"/>
          <w:color w:val="FF0000"/>
          <w:sz w:val="18"/>
          <w:szCs w:val="18"/>
        </w:rPr>
        <w:t>（小五）</w:t>
      </w:r>
    </w:p>
    <w:p>
      <w:pPr>
        <w:ind w:firstLine="354" w:firstLineChars="200"/>
        <w:rPr>
          <w:sz w:val="18"/>
          <w:szCs w:val="18"/>
        </w:rPr>
      </w:pPr>
      <w:r>
        <w:rPr>
          <w:rFonts w:eastAsia="黑体"/>
          <w:b/>
          <w:sz w:val="18"/>
          <w:szCs w:val="18"/>
        </w:rPr>
        <w:t xml:space="preserve">Keywords: </w:t>
      </w:r>
      <w:r>
        <w:rPr>
          <w:rFonts w:eastAsia="楷体_GB2312"/>
          <w:sz w:val="18"/>
          <w:szCs w:val="18"/>
        </w:rPr>
        <w:t>dynamic spectrum access; spectrum sensing; online learning; satisficing discounted Thompson samplin</w:t>
      </w:r>
      <w:r>
        <w:rPr>
          <w:rFonts w:hint="eastAsia"/>
          <w:color w:val="FF0000"/>
          <w:sz w:val="18"/>
          <w:szCs w:val="18"/>
        </w:rPr>
        <w:t>（小五）</w:t>
      </w:r>
    </w:p>
    <w:p>
      <w:pPr>
        <w:ind w:firstLine="354" w:firstLineChars="200"/>
        <w:rPr>
          <w:rFonts w:eastAsia="黑体"/>
          <w:sz w:val="18"/>
          <w:szCs w:val="18"/>
        </w:rPr>
      </w:pPr>
    </w:p>
    <w:p>
      <w:pPr>
        <w:outlineLvl w:val="0"/>
        <w:rPr>
          <w:rFonts w:eastAsia="黑体"/>
          <w:sz w:val="28"/>
          <w:szCs w:val="28"/>
        </w:rPr>
        <w:sectPr>
          <w:footerReference r:id="rId4" w:type="default"/>
          <w:footnotePr>
            <w:numFmt w:val="decimalEnclosedCircleChinese"/>
          </w:footnotePr>
          <w:type w:val="continuous"/>
          <w:pgSz w:w="11906" w:h="16838"/>
          <w:pgMar w:top="1418" w:right="1418" w:bottom="1418" w:left="1418" w:header="851" w:footer="992" w:gutter="0"/>
          <w:cols w:space="425" w:num="1"/>
          <w:docGrid w:type="linesAndChars" w:linePitch="312" w:charSpace="-792"/>
        </w:sectPr>
      </w:pPr>
    </w:p>
    <w:p>
      <w:pPr>
        <w:rPr>
          <w:color w:val="FF0000"/>
          <w:szCs w:val="21"/>
        </w:rPr>
      </w:pPr>
      <w:r>
        <w:rPr>
          <w:rFonts w:hint="eastAsia"/>
          <w:color w:val="FF0000"/>
          <w:szCs w:val="21"/>
        </w:rPr>
        <w:t>（正文与摘要接排）</w:t>
      </w:r>
    </w:p>
    <w:p>
      <w:pPr>
        <w:rPr>
          <w:color w:val="FF0000"/>
          <w:szCs w:val="21"/>
        </w:rPr>
      </w:pPr>
      <w:r>
        <w:rPr>
          <w:rFonts w:hint="eastAsia"/>
          <w:color w:val="FF0000"/>
          <w:szCs w:val="21"/>
        </w:rPr>
        <w:t>（正文</w:t>
      </w:r>
      <w:r>
        <w:rPr>
          <w:color w:val="FF0000"/>
          <w:szCs w:val="21"/>
        </w:rPr>
        <w:t>双栏排版，</w:t>
      </w:r>
      <w:r>
        <w:rPr>
          <w:rFonts w:hint="eastAsia"/>
          <w:color w:val="FF0000"/>
          <w:szCs w:val="21"/>
        </w:rPr>
        <w:t>宋体五号字，单倍行距，段前、段后各0行，</w:t>
      </w:r>
      <w:r>
        <w:rPr>
          <w:color w:val="FF0000"/>
          <w:szCs w:val="21"/>
        </w:rPr>
        <w:t>每</w:t>
      </w:r>
      <w:r>
        <w:rPr>
          <w:rFonts w:hint="eastAsia"/>
          <w:color w:val="FF0000"/>
          <w:szCs w:val="21"/>
        </w:rPr>
        <w:t>栏</w:t>
      </w:r>
      <w:r>
        <w:rPr>
          <w:color w:val="FF0000"/>
          <w:szCs w:val="21"/>
        </w:rPr>
        <w:t>4</w:t>
      </w:r>
      <w:r>
        <w:rPr>
          <w:rFonts w:hint="eastAsia"/>
          <w:color w:val="FF0000"/>
          <w:szCs w:val="21"/>
        </w:rPr>
        <w:t>6</w:t>
      </w:r>
      <w:r>
        <w:rPr>
          <w:color w:val="FF0000"/>
          <w:szCs w:val="21"/>
        </w:rPr>
        <w:t>行</w:t>
      </w:r>
      <w:r>
        <w:rPr>
          <w:rFonts w:hint="eastAsia"/>
          <w:color w:val="FF0000"/>
          <w:szCs w:val="21"/>
        </w:rPr>
        <w:t>×</w:t>
      </w:r>
      <w:r>
        <w:rPr>
          <w:color w:val="FF0000"/>
          <w:szCs w:val="21"/>
        </w:rPr>
        <w:t>2</w:t>
      </w:r>
      <w:r>
        <w:rPr>
          <w:rFonts w:hint="eastAsia"/>
          <w:color w:val="FF0000"/>
          <w:szCs w:val="21"/>
        </w:rPr>
        <w:t>1</w:t>
      </w:r>
      <w:r>
        <w:rPr>
          <w:color w:val="FF0000"/>
          <w:szCs w:val="21"/>
        </w:rPr>
        <w:t>字</w:t>
      </w:r>
      <w:r>
        <w:rPr>
          <w:rFonts w:hint="eastAsia"/>
          <w:color w:val="FF0000"/>
          <w:szCs w:val="21"/>
        </w:rPr>
        <w:t>）</w:t>
      </w:r>
    </w:p>
    <w:p>
      <w:pPr>
        <w:ind w:firstLine="412" w:firstLineChars="200"/>
        <w:rPr>
          <w:szCs w:val="21"/>
        </w:rPr>
      </w:pPr>
      <w:r>
        <w:rPr>
          <w:rFonts w:hint="eastAsia"/>
          <w:szCs w:val="21"/>
        </w:rPr>
        <w:t>大部分可用的频谱资源被授权给了特定的应用，如广播电视、移动通信等。在过去的几十年里，移动数据流量快速增长，引发了频谱资源短缺问题。此外，调查表明，授权给特定应用的频谱未被充分利用，部分授权频谱在时间和空间尺度上是空闲的，这导致了频谱的利用效率低下。在不干扰授权用户（主用户）的前提下，认知无线电允许次级用户动态地接入空闲的授权频谱进行数据传输</w:t>
      </w:r>
      <w:r>
        <w:rPr>
          <w:szCs w:val="21"/>
          <w:vertAlign w:val="superscript"/>
        </w:rPr>
        <w:t>[1-2]</w:t>
      </w:r>
      <w:r>
        <w:rPr>
          <w:rFonts w:hint="eastAsia"/>
          <w:szCs w:val="21"/>
        </w:rPr>
        <w:t>。动态频谱接入是解决频谱资源短缺和利用效率低问题的潜在方案，引起了广泛关注。</w:t>
      </w:r>
    </w:p>
    <w:p>
      <w:pPr>
        <w:ind w:firstLine="412" w:firstLineChars="200"/>
        <w:rPr>
          <w:szCs w:val="21"/>
        </w:rPr>
      </w:pPr>
      <w:r>
        <w:rPr>
          <w:rFonts w:hint="eastAsia"/>
          <w:szCs w:val="21"/>
        </w:rPr>
        <w:t>…………</w:t>
      </w:r>
    </w:p>
    <w:p>
      <w:pPr>
        <w:rPr>
          <w:color w:val="FF0000"/>
          <w:szCs w:val="21"/>
        </w:rPr>
      </w:pPr>
      <w:r>
        <w:rPr>
          <w:rFonts w:hint="eastAsia"/>
          <w:color w:val="FF0000"/>
        </w:rPr>
        <w:t>（正文中标题：</w:t>
      </w:r>
      <w:r>
        <w:rPr>
          <w:rFonts w:hint="eastAsia"/>
          <w:color w:val="FF0000"/>
          <w:szCs w:val="21"/>
        </w:rPr>
        <w:t>单倍行距，段前、段后各0.5行</w:t>
      </w:r>
      <w:r>
        <w:rPr>
          <w:rFonts w:hint="eastAsia"/>
          <w:color w:val="FF0000"/>
        </w:rPr>
        <w:t>）</w:t>
      </w:r>
    </w:p>
    <w:p>
      <w:pPr>
        <w:adjustRightInd w:val="0"/>
        <w:snapToGrid w:val="0"/>
        <w:spacing w:before="152" w:beforeLines="50" w:after="152" w:afterLines="50"/>
        <w:outlineLvl w:val="0"/>
        <w:rPr>
          <w:rFonts w:ascii="Calibri" w:hAnsi="Calibri" w:eastAsia="黑体"/>
          <w:color w:val="FF0000"/>
          <w:sz w:val="24"/>
        </w:rPr>
      </w:pPr>
      <w:r>
        <w:rPr>
          <w:rFonts w:hint="eastAsia" w:ascii="黑体" w:eastAsia="黑体"/>
          <w:sz w:val="24"/>
        </w:rPr>
        <w:t xml:space="preserve">1 </w:t>
      </w:r>
      <w:r>
        <w:rPr>
          <w:rFonts w:ascii="黑体" w:eastAsia="黑体"/>
          <w:sz w:val="24"/>
        </w:rPr>
        <w:t xml:space="preserve"> </w:t>
      </w:r>
      <w:r>
        <w:rPr>
          <w:rFonts w:hint="eastAsia" w:ascii="黑体" w:eastAsia="黑体"/>
          <w:sz w:val="24"/>
        </w:rPr>
        <w:t>问题描述</w:t>
      </w:r>
      <w:r>
        <w:rPr>
          <w:rFonts w:hint="eastAsia" w:ascii="Calibri" w:hAnsi="Calibri" w:eastAsia="黑体"/>
          <w:color w:val="FF0000"/>
          <w:sz w:val="24"/>
        </w:rPr>
        <w:t>（一级标题，小四，黑体）</w:t>
      </w:r>
    </w:p>
    <w:p>
      <w:pPr>
        <w:ind w:firstLine="412" w:firstLineChars="200"/>
        <w:rPr>
          <w:szCs w:val="21"/>
        </w:rPr>
      </w:pPr>
      <w:r>
        <w:rPr>
          <w:rFonts w:hint="eastAsia"/>
        </w:rPr>
        <w:t>本文研究了频谱感知次序问题，也可以说是多频段间</w:t>
      </w:r>
      <w:r>
        <w:rPr>
          <w:rFonts w:hint="eastAsia"/>
          <w:szCs w:val="21"/>
        </w:rPr>
        <w:t>……</w:t>
      </w:r>
    </w:p>
    <w:p>
      <w:pPr>
        <w:adjustRightInd w:val="0"/>
        <w:snapToGrid w:val="0"/>
        <w:spacing w:before="152" w:beforeLines="50" w:after="152" w:afterLines="50"/>
        <w:outlineLvl w:val="1"/>
        <w:rPr>
          <w:rFonts w:eastAsia="黑体"/>
          <w:color w:val="FF0000"/>
          <w:szCs w:val="21"/>
        </w:rPr>
      </w:pPr>
      <w:r>
        <w:rPr>
          <w:rFonts w:hint="eastAsia" w:ascii="黑体" w:eastAsia="黑体"/>
        </w:rPr>
        <w:t>1.1</w:t>
      </w:r>
      <w:r>
        <w:rPr>
          <w:rFonts w:ascii="黑体" w:eastAsia="黑体"/>
        </w:rPr>
        <w:t xml:space="preserve">  </w:t>
      </w:r>
      <w:r>
        <w:rPr>
          <w:rFonts w:hint="eastAsia" w:eastAsia="黑体"/>
        </w:rPr>
        <w:t>频谱感知次序问题</w:t>
      </w:r>
      <w:r>
        <w:rPr>
          <w:rFonts w:hint="eastAsia" w:eastAsia="黑体"/>
          <w:color w:val="FF0000"/>
          <w:szCs w:val="21"/>
        </w:rPr>
        <w:t>（二级标题，五号，黑体）</w:t>
      </w:r>
    </w:p>
    <w:p>
      <w:pPr>
        <w:ind w:firstLine="412" w:firstLineChars="200"/>
        <w:rPr>
          <w:color w:val="FF0000"/>
          <w:szCs w:val="21"/>
        </w:rPr>
      </w:pPr>
      <w:r>
        <w:rPr>
          <w:rFonts w:hint="eastAsia"/>
        </w:rPr>
        <w:t>考虑有N个频段且每个频段划分为……</w:t>
      </w:r>
    </w:p>
    <w:p>
      <w:pPr>
        <w:adjustRightInd w:val="0"/>
        <w:snapToGrid w:val="0"/>
        <w:spacing w:before="50" w:after="50"/>
        <w:outlineLvl w:val="2"/>
        <w:rPr>
          <w:rFonts w:eastAsia="楷体"/>
          <w:color w:val="FF0000"/>
          <w:szCs w:val="21"/>
        </w:rPr>
      </w:pPr>
      <w:r>
        <w:rPr>
          <w:rFonts w:hint="eastAsia" w:eastAsia="楷体"/>
        </w:rPr>
        <w:t>1.1.1</w:t>
      </w:r>
      <w:r>
        <w:rPr>
          <w:rFonts w:eastAsia="楷体"/>
        </w:rPr>
        <w:t xml:space="preserve">  </w:t>
      </w:r>
      <w:r>
        <w:rPr>
          <w:rFonts w:hint="eastAsia" w:eastAsia="楷体"/>
        </w:rPr>
        <w:t>系统模型</w:t>
      </w:r>
      <w:r>
        <w:rPr>
          <w:rFonts w:hint="eastAsia" w:eastAsia="楷体"/>
          <w:color w:val="FF0000"/>
          <w:szCs w:val="21"/>
        </w:rPr>
        <w:t>（三级标题，五号，楷体）</w:t>
      </w:r>
    </w:p>
    <w:p>
      <w:pPr>
        <w:ind w:firstLine="412" w:firstLineChars="200"/>
        <w:rPr>
          <w:szCs w:val="21"/>
        </w:rPr>
      </w:pPr>
      <w:r>
        <w:rPr>
          <w:rFonts w:hint="eastAsia"/>
          <w:szCs w:val="21"/>
        </w:rPr>
        <w:t>…………</w:t>
      </w:r>
    </w:p>
    <w:p>
      <w:pPr>
        <w:pStyle w:val="6"/>
        <w:snapToGrid w:val="0"/>
        <w:ind w:firstLine="414"/>
        <w:rPr>
          <w:sz w:val="21"/>
          <w:szCs w:val="21"/>
        </w:rPr>
      </w:pPr>
      <w:r>
        <w:rPr>
          <w:b/>
          <w:sz w:val="21"/>
          <w:szCs w:val="24"/>
        </w:rPr>
        <w:t>定理</w:t>
      </w:r>
      <w:r>
        <w:rPr>
          <w:rFonts w:hint="eastAsia"/>
          <w:b/>
          <w:color w:val="000000"/>
          <w:sz w:val="21"/>
          <w:szCs w:val="24"/>
        </w:rPr>
        <w:t xml:space="preserve">1  </w:t>
      </w:r>
      <w:r>
        <w:rPr>
          <w:rFonts w:hint="eastAsia"/>
          <w:color w:val="000000"/>
          <w:sz w:val="21"/>
          <w:szCs w:val="24"/>
        </w:rPr>
        <w:t>如果</w:t>
      </w:r>
      <w:r>
        <w:rPr>
          <w:rFonts w:hint="eastAsia"/>
          <w:color w:val="000000"/>
          <w:szCs w:val="21"/>
        </w:rPr>
        <w:t>…</w:t>
      </w:r>
      <w:r>
        <w:rPr>
          <w:rFonts w:hint="eastAsia"/>
          <w:szCs w:val="21"/>
        </w:rPr>
        <w:t>…</w:t>
      </w:r>
    </w:p>
    <w:p>
      <w:pPr>
        <w:ind w:firstLine="420"/>
        <w:rPr>
          <w:rFonts w:ascii="宋体" w:hAnsi="宋体"/>
          <w:szCs w:val="21"/>
        </w:rPr>
      </w:pPr>
      <w:r>
        <w:rPr>
          <w:rFonts w:ascii="宋体" w:hAnsi="宋体"/>
          <w:szCs w:val="21"/>
        </w:rPr>
        <w:t>证明：</w:t>
      </w:r>
      <w:r>
        <w:rPr>
          <w:rFonts w:hint="eastAsia" w:ascii="宋体" w:hAnsi="宋体"/>
          <w:szCs w:val="21"/>
        </w:rPr>
        <w:t>……</w:t>
      </w:r>
    </w:p>
    <w:p>
      <w:pPr>
        <w:ind w:firstLine="420"/>
        <w:jc w:val="right"/>
        <w:rPr>
          <w:color w:val="FF0000"/>
          <w:sz w:val="18"/>
          <w:szCs w:val="18"/>
        </w:rPr>
      </w:pPr>
      <w:r>
        <w:rPr>
          <w:rFonts w:hint="eastAsia"/>
          <w:szCs w:val="21"/>
        </w:rPr>
        <w:t>□</w:t>
      </w:r>
      <w:r>
        <w:rPr>
          <w:rFonts w:hint="eastAsia"/>
          <w:color w:val="FF0000"/>
          <w:szCs w:val="21"/>
        </w:rPr>
        <w:t>(</w:t>
      </w:r>
      <w:r>
        <w:rPr>
          <w:rFonts w:hint="eastAsia"/>
          <w:color w:val="FF0000"/>
          <w:sz w:val="18"/>
          <w:szCs w:val="18"/>
        </w:rPr>
        <w:t xml:space="preserve">表示证明结束) </w:t>
      </w:r>
    </w:p>
    <w:p>
      <w:pPr>
        <w:ind w:firstLine="420"/>
        <w:rPr>
          <w:rFonts w:ascii="宋体" w:hAnsi="宋体"/>
          <w:color w:val="FF0000"/>
          <w:szCs w:val="21"/>
        </w:rPr>
      </w:pPr>
      <w:r>
        <w:rPr>
          <w:rFonts w:hint="eastAsia" w:ascii="宋体" w:hAnsi="宋体"/>
          <w:color w:val="FF0000"/>
          <w:szCs w:val="21"/>
        </w:rPr>
        <w:t>（</w:t>
      </w:r>
      <w:r>
        <w:rPr>
          <w:rFonts w:hint="eastAsia" w:ascii="宋体" w:hAnsi="宋体"/>
          <w:b/>
          <w:bCs/>
          <w:color w:val="FF0000"/>
          <w:szCs w:val="21"/>
        </w:rPr>
        <w:t>公式</w:t>
      </w:r>
      <w:bookmarkStart w:id="0" w:name="_Hlk51080029"/>
      <w:r>
        <w:rPr>
          <w:rFonts w:hint="eastAsia" w:ascii="宋体" w:hAnsi="宋体"/>
          <w:b/>
          <w:bCs/>
          <w:color w:val="FF0000"/>
          <w:szCs w:val="21"/>
        </w:rPr>
        <w:t>请使用Math</w:t>
      </w:r>
      <w:r>
        <w:rPr>
          <w:rFonts w:ascii="宋体" w:hAnsi="宋体"/>
          <w:b/>
          <w:bCs/>
          <w:color w:val="FF0000"/>
          <w:szCs w:val="21"/>
        </w:rPr>
        <w:t>T</w:t>
      </w:r>
      <w:r>
        <w:rPr>
          <w:rFonts w:hint="eastAsia" w:ascii="宋体" w:hAnsi="宋体"/>
          <w:b/>
          <w:bCs/>
          <w:color w:val="FF0000"/>
          <w:szCs w:val="21"/>
        </w:rPr>
        <w:t>ype编辑</w:t>
      </w:r>
      <w:r>
        <w:rPr>
          <w:rFonts w:hint="eastAsia" w:ascii="宋体" w:hAnsi="宋体"/>
          <w:color w:val="FF0000"/>
          <w:szCs w:val="21"/>
        </w:rPr>
        <w:t>，并</w:t>
      </w:r>
      <w:bookmarkEnd w:id="0"/>
      <w:r>
        <w:rPr>
          <w:rFonts w:hint="eastAsia" w:ascii="宋体" w:hAnsi="宋体"/>
          <w:color w:val="FF0000"/>
          <w:szCs w:val="21"/>
        </w:rPr>
        <w:t>注意全文统一编号）</w:t>
      </w:r>
    </w:p>
    <w:p>
      <w:pPr>
        <w:pStyle w:val="25"/>
        <w:jc w:val="both"/>
        <w:rPr>
          <w:sz w:val="21"/>
          <w:szCs w:val="21"/>
        </w:rPr>
      </w:pPr>
      <w:r>
        <w:fldChar w:fldCharType="begin"/>
      </w:r>
      <w:r>
        <w:instrText xml:space="preserve"> QUOTE </w:instrText>
      </w:r>
      <m:oMath>
        <m:r>
          <m:rPr>
            <m:sty m:val="p"/>
          </m:rPr>
          <w:rPr>
            <w:rFonts w:ascii="Cambria Math" w:hAnsi="Cambria Math"/>
          </w:rPr>
          <m:t xml:space="preserve">ψ</m:t>
        </m:r>
        <m:d>
          <m:dPr>
            <m:ctrlPr>
              <w:rPr>
                <w:rFonts w:ascii="Cambria Math" w:hAnsi="Cambria Math"/>
                <w:i/>
              </w:rPr>
            </m:ctrlPr>
          </m:dPr>
          <m:e>
            <m:r>
              <m:rPr>
                <m:sty m:val="p"/>
              </m:rPr>
              <w:rPr>
                <w:rFonts w:ascii="Cambria Math" w:hAnsi="Cambria Math"/>
              </w:rPr>
              <m:t xml:space="preserve">k+1</m:t>
            </m:r>
            <m:ctrlPr>
              <w:rPr>
                <w:rFonts w:ascii="Cambria Math" w:hAnsi="Cambria Math"/>
                <w:i/>
              </w:rPr>
            </m:ctrlPr>
          </m:e>
        </m:d>
        <m:r>
          <m:rPr>
            <m:sty m:val="p"/>
          </m:rPr>
          <w:rPr>
            <w:rFonts w:ascii="Cambria Math" w:hAnsi="Cambria Math"/>
          </w:rPr>
          <m:t xml:space="preserve">=</m:t>
        </m:r>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r>
                        <m:rPr>
                          <m:sty m:val="p"/>
                        </m:rPr>
                        <w:rPr>
                          <w:rFonts w:ascii="Cambria Math" w:hAnsi="Cambria Math"/>
                        </w:rPr>
                        <m:t xml:space="preserve">ψ</m:t>
                      </m:r>
                      <m:d>
                        <m:dPr>
                          <m:ctrlPr>
                            <w:rPr>
                              <w:rFonts w:ascii="Cambria Math" w:hAnsi="Cambria Math"/>
                              <w:i/>
                            </w:rPr>
                          </m:ctrlPr>
                        </m:dPr>
                        <m:e>
                          <m:r>
                            <m:rPr>
                              <m:sty m:val="p"/>
                            </m:rPr>
                            <w:rPr>
                              <w:rFonts w:ascii="Cambria Math" w:hAnsi="Cambria Math"/>
                            </w:rPr>
                            <m:t xml:space="preserve">k</m:t>
                          </m:r>
                          <m:ctrlPr>
                            <w:rPr>
                              <w:rFonts w:ascii="Cambria Math" w:hAnsi="Cambria Math"/>
                              <w:i/>
                            </w:rPr>
                          </m:ctrlPr>
                        </m:e>
                      </m:d>
                      <m:r>
                        <m:rPr>
                          <m:sty m:val="p"/>
                        </m:rPr>
                        <w:rPr>
                          <w:rFonts w:ascii="Cambria Math" w:hAnsi="Cambria Math"/>
                        </w:rPr>
                        <m:t xml:space="preserve">−45</m:t>
                      </m:r>
                      <m:ctrlPr>
                        <w:rPr>
                          <w:rFonts w:ascii="Cambria Math" w:hAnsi="Cambria Math"/>
                          <w:i/>
                        </w:rPr>
                      </m:ctrlPr>
                    </m:e>
                  </m:d>
                  <m:r>
                    <m:rPr>
                      <m:sty m:val="p"/>
                    </m:rPr>
                    <w:rPr>
                      <w:rFonts w:ascii="Cambria Math" w:hAnsi="Cambria Math"/>
                    </w:rPr>
                    <m:t xml:space="preserve"> </m:t>
                  </m:r>
                  <m:func>
                    <m:funcPr>
                      <m:ctrlPr>
                        <w:rPr>
                          <w:rFonts w:ascii="Cambria Math" w:hAnsi="Cambria Math"/>
                          <w:i/>
                        </w:rPr>
                      </m:ctrlPr>
                    </m:funcPr>
                    <m:fName>
                      <m:r>
                        <m:rPr>
                          <m:sty m:val="p"/>
                        </m:rPr>
                        <w:rPr>
                          <w:rFonts w:ascii="Cambria Math" w:hAnsi="Cambria Math"/>
                        </w:rPr>
                        <m:t xml:space="preserve">mod</m:t>
                      </m:r>
                      <m:ctrlPr>
                        <w:rPr>
                          <w:rFonts w:ascii="Cambria Math" w:hAnsi="Cambria Math"/>
                          <w:i/>
                        </w:rPr>
                      </m:ctrlPr>
                    </m:fName>
                    <m:e>
                      <m:r>
                        <m:rPr>
                          <m:sty m:val="p"/>
                        </m:rPr>
                        <w:rPr>
                          <w:rFonts w:ascii="Cambria Math" w:hAnsi="Cambria Math"/>
                        </w:rPr>
                        <m:t xml:space="preserve"> </m:t>
                      </m:r>
                      <m:ctrlPr>
                        <w:rPr>
                          <w:rFonts w:ascii="Cambria Math" w:hAnsi="Cambria Math"/>
                          <w:i/>
                        </w:rPr>
                      </m:ctrlPr>
                    </m:e>
                  </m:func>
                  <m:r>
                    <m:rPr>
                      <m:sty m:val="p"/>
                    </m:rPr>
                    <w:rPr>
                      <w:rFonts w:ascii="Cambria Math" w:hAnsi="Cambria Math"/>
                    </w:rPr>
                    <m:t xml:space="preserve">360   σ</m:t>
                  </m:r>
                  <m:r>
                    <m:rPr>
                      <m:nor/>
                      <m:sty m:val="p"/>
                    </m:rPr>
                    <w:rPr>
                      <w:b w:val="0"/>
                      <w:i w:val="0"/>
                    </w:rPr>
                    <m:t xml:space="preserve">=-1</m:t>
                  </m:r>
                  <m:ctrlPr>
                    <w:rPr>
                      <w:rFonts w:ascii="Cambria Math" w:hAnsi="Cambria Math"/>
                    </w:rPr>
                  </m:ctrlPr>
                </m:e>
              </m:mr>
              <m:mr>
                <m:e>
                  <m:r>
                    <m:rPr>
                      <m:sty m:val="p"/>
                    </m:rPr>
                    <w:rPr>
                      <w:rFonts w:ascii="Cambria Math" w:hAnsi="Cambria Math"/>
                    </w:rPr>
                    <m:t xml:space="preserve">ψ</m:t>
                  </m:r>
                  <m:d>
                    <m:dPr>
                      <m:ctrlPr>
                        <w:rPr>
                          <w:rFonts w:ascii="Cambria Math" w:hAnsi="Cambria Math"/>
                          <w:i/>
                        </w:rPr>
                      </m:ctrlPr>
                    </m:dPr>
                    <m:e>
                      <m:r>
                        <m:rPr>
                          <m:sty m:val="p"/>
                        </m:rPr>
                        <w:rPr>
                          <w:rFonts w:ascii="Cambria Math" w:hAnsi="Cambria Math"/>
                        </w:rPr>
                        <m:t xml:space="preserve">k</m:t>
                      </m:r>
                      <m:ctrlPr>
                        <w:rPr>
                          <w:rFonts w:ascii="Cambria Math" w:hAnsi="Cambria Math"/>
                          <w:i/>
                        </w:rPr>
                      </m:ctrlPr>
                    </m:e>
                  </m:d>
                  <m:r>
                    <m:rPr>
                      <m:sty m:val="p"/>
                    </m:rPr>
                    <w:rPr>
                      <w:rFonts w:ascii="Cambria Math" w:hAnsi="Cambria Math"/>
                    </w:rPr>
                    <m:t xml:space="preserve">               </m:t>
                  </m:r>
                  <m:r>
                    <m:rPr/>
                    <w:rPr>
                      <w:rFonts w:ascii="Cambria Math" w:hAnsi="Cambria Math"/>
                    </w:rPr>
                    <m:t xml:space="preserve"> </m:t>
                  </m:r>
                  <m:r>
                    <m:rPr>
                      <m:sty m:val="p"/>
                    </m:rPr>
                    <w:rPr>
                      <w:rFonts w:ascii="Cambria Math" w:hAnsi="Cambria Math"/>
                    </w:rPr>
                    <m:t xml:space="preserve">σ=0</m:t>
                  </m:r>
                  <m:ctrlPr>
                    <w:rPr>
                      <w:rFonts w:ascii="Cambria Math" w:hAnsi="Cambria Math"/>
                    </w:rPr>
                  </m:ctrlPr>
                </m:e>
              </m:mr>
              <m:mr>
                <m:e>
                  <m:d>
                    <m:dPr>
                      <m:ctrlPr>
                        <w:rPr>
                          <w:rFonts w:ascii="Cambria Math" w:hAnsi="Cambria Math"/>
                          <w:i/>
                        </w:rPr>
                      </m:ctrlPr>
                    </m:dPr>
                    <m:e>
                      <m:r>
                        <m:rPr>
                          <m:sty m:val="p"/>
                        </m:rPr>
                        <w:rPr>
                          <w:rFonts w:ascii="Cambria Math" w:hAnsi="Cambria Math"/>
                        </w:rPr>
                        <m:t xml:space="preserve">ψ</m:t>
                      </m:r>
                      <m:d>
                        <m:dPr>
                          <m:ctrlPr>
                            <w:rPr>
                              <w:rFonts w:ascii="Cambria Math" w:hAnsi="Cambria Math"/>
                              <w:i/>
                            </w:rPr>
                          </m:ctrlPr>
                        </m:dPr>
                        <m:e>
                          <m:r>
                            <m:rPr>
                              <m:sty m:val="p"/>
                            </m:rPr>
                            <w:rPr>
                              <w:rFonts w:ascii="Cambria Math" w:hAnsi="Cambria Math"/>
                            </w:rPr>
                            <m:t xml:space="preserve">k</m:t>
                          </m:r>
                          <m:ctrlPr>
                            <w:rPr>
                              <w:rFonts w:ascii="Cambria Math" w:hAnsi="Cambria Math"/>
                              <w:i/>
                            </w:rPr>
                          </m:ctrlPr>
                        </m:e>
                      </m:d>
                      <m:r>
                        <m:rPr>
                          <m:sty m:val="p"/>
                        </m:rPr>
                        <w:rPr>
                          <w:rFonts w:ascii="Cambria Math" w:hAnsi="Cambria Math"/>
                        </w:rPr>
                        <m:t xml:space="preserve">+45</m:t>
                      </m:r>
                      <m:ctrlPr>
                        <w:rPr>
                          <w:rFonts w:ascii="Cambria Math" w:hAnsi="Cambria Math"/>
                          <w:i/>
                        </w:rPr>
                      </m:ctrlPr>
                    </m:e>
                  </m:d>
                  <m:r>
                    <m:rPr>
                      <m:sty m:val="p"/>
                    </m:rPr>
                    <w:rPr>
                      <w:rFonts w:ascii="Cambria Math" w:hAnsi="Cambria Math"/>
                    </w:rPr>
                    <m:t xml:space="preserve"> </m:t>
                  </m:r>
                  <m:func>
                    <m:funcPr>
                      <m:ctrlPr>
                        <w:rPr>
                          <w:rFonts w:ascii="Cambria Math" w:hAnsi="Cambria Math"/>
                          <w:i/>
                        </w:rPr>
                      </m:ctrlPr>
                    </m:funcPr>
                    <m:fName>
                      <m:r>
                        <m:rPr>
                          <m:sty m:val="p"/>
                        </m:rPr>
                        <w:rPr>
                          <w:rFonts w:ascii="Cambria Math" w:hAnsi="Cambria Math"/>
                        </w:rPr>
                        <m:t xml:space="preserve">mod</m:t>
                      </m:r>
                      <m:ctrlPr>
                        <w:rPr>
                          <w:rFonts w:ascii="Cambria Math" w:hAnsi="Cambria Math"/>
                          <w:i/>
                        </w:rPr>
                      </m:ctrlPr>
                    </m:fName>
                    <m:e>
                      <m:r>
                        <m:rPr>
                          <m:sty m:val="p"/>
                        </m:rPr>
                        <w:rPr>
                          <w:rFonts w:ascii="Cambria Math" w:hAnsi="Cambria Math"/>
                        </w:rPr>
                        <m:t xml:space="preserve"> </m:t>
                      </m:r>
                      <m:ctrlPr>
                        <w:rPr>
                          <w:rFonts w:ascii="Cambria Math" w:hAnsi="Cambria Math"/>
                          <w:i/>
                        </w:rPr>
                      </m:ctrlPr>
                    </m:e>
                  </m:func>
                  <m:r>
                    <m:rPr>
                      <m:sty m:val="p"/>
                    </m:rPr>
                    <w:rPr>
                      <w:rFonts w:ascii="Cambria Math" w:hAnsi="Cambria Math"/>
                    </w:rPr>
                    <m:t xml:space="preserve">360   σ=1</m:t>
                  </m:r>
                  <m:ctrlPr>
                    <w:rPr>
                      <w:rFonts w:ascii="Cambria Math" w:hAnsi="Cambria Math"/>
                      <w:i/>
                    </w:rPr>
                  </m:ctrlPr>
                </m:e>
              </m:mr>
            </m:m>
            <m:ctrlPr>
              <w:rPr>
                <w:rFonts w:ascii="Cambria Math" w:hAnsi="Cambria Math"/>
                <w:i/>
              </w:rPr>
            </m:ctrlPr>
          </m:e>
        </m:d>
      </m:oMath>
      <w:r>
        <w:instrText xml:space="preserve"> </w:instrText>
      </w:r>
      <w:r>
        <w:fldChar w:fldCharType="separate"/>
      </w:r>
      <m:oMath>
        <w:bookmarkStart w:id="1" w:name="_Hlk51080068"/>
        <m:r>
          <m:rPr>
            <m:sty m:val="p"/>
          </m:rPr>
          <w:rPr>
            <w:rFonts w:ascii="Cambria Math" w:hAnsi="Cambria Math"/>
            <w:sz w:val="18"/>
            <w:szCs w:val="18"/>
          </w:rPr>
          <m:t>ψ</m:t>
        </m:r>
        <m:d>
          <m:dPr>
            <m:ctrlPr>
              <w:rPr>
                <w:rFonts w:ascii="Cambria Math" w:hAnsi="Cambria Math"/>
                <w:i/>
                <w:sz w:val="18"/>
                <w:szCs w:val="18"/>
              </w:rPr>
            </m:ctrlPr>
          </m:dPr>
          <m:e>
            <m:r>
              <m:rPr>
                <m:sty m:val="p"/>
              </m:rPr>
              <w:rPr>
                <w:rFonts w:ascii="Cambria Math" w:hAnsi="Cambria Math"/>
                <w:sz w:val="18"/>
                <w:szCs w:val="18"/>
              </w:rPr>
              <m:t>k+1</m:t>
            </m:r>
            <m:ctrlPr>
              <w:rPr>
                <w:rFonts w:ascii="Cambria Math" w:hAnsi="Cambria Math"/>
                <w:i/>
                <w:sz w:val="18"/>
                <w:szCs w:val="18"/>
              </w:rPr>
            </m:ctrlPr>
          </m:e>
        </m:d>
        <m:r>
          <m:rPr>
            <m:sty m:val="p"/>
          </m:rPr>
          <w:rPr>
            <w:rFonts w:ascii="Cambria Math" w:hAnsi="Cambria Math"/>
            <w:sz w:val="18"/>
            <w:szCs w:val="18"/>
          </w:rPr>
          <m:t>=</m:t>
        </m:r>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d>
                    <m:dPr>
                      <m:ctrlPr>
                        <w:rPr>
                          <w:rFonts w:ascii="Cambria Math" w:hAnsi="Cambria Math"/>
                          <w:i/>
                          <w:sz w:val="18"/>
                          <w:szCs w:val="18"/>
                        </w:rPr>
                      </m:ctrlPr>
                    </m:dPr>
                    <m:e>
                      <m:r>
                        <m:rPr>
                          <m:sty m:val="p"/>
                        </m:rPr>
                        <w:rPr>
                          <w:rFonts w:ascii="Cambria Math" w:hAnsi="Cambria Math"/>
                          <w:sz w:val="18"/>
                          <w:szCs w:val="18"/>
                        </w:rPr>
                        <m:t>ψ</m:t>
                      </m:r>
                      <m:d>
                        <m:dPr>
                          <m:ctrlPr>
                            <w:rPr>
                              <w:rFonts w:ascii="Cambria Math" w:hAnsi="Cambria Math"/>
                              <w:i/>
                              <w:sz w:val="18"/>
                              <w:szCs w:val="18"/>
                            </w:rPr>
                          </m:ctrlPr>
                        </m:dPr>
                        <m:e>
                          <m:r>
                            <m:rPr>
                              <m:sty m:val="p"/>
                            </m:rPr>
                            <w:rPr>
                              <w:rFonts w:ascii="Cambria Math" w:hAnsi="Cambria Math"/>
                              <w:sz w:val="18"/>
                              <w:szCs w:val="18"/>
                            </w:rPr>
                            <m:t>k</m:t>
                          </m:r>
                          <m:ctrlPr>
                            <w:rPr>
                              <w:rFonts w:ascii="Cambria Math" w:hAnsi="Cambria Math"/>
                              <w:i/>
                              <w:sz w:val="18"/>
                              <w:szCs w:val="18"/>
                            </w:rPr>
                          </m:ctrlPr>
                        </m:e>
                      </m:d>
                      <m:r>
                        <m:rPr>
                          <m:sty m:val="p"/>
                        </m:rPr>
                        <w:rPr>
                          <w:rFonts w:ascii="Cambria Math" w:hAnsi="Cambria Math"/>
                          <w:sz w:val="18"/>
                          <w:szCs w:val="18"/>
                        </w:rPr>
                        <m:t>−45</m:t>
                      </m:r>
                      <m:ctrlPr>
                        <w:rPr>
                          <w:rFonts w:ascii="Cambria Math" w:hAnsi="Cambria Math"/>
                          <w:i/>
                          <w:sz w:val="18"/>
                          <w:szCs w:val="18"/>
                        </w:rPr>
                      </m:ctrlPr>
                    </m:e>
                  </m:d>
                  <m:r>
                    <m:rPr>
                      <m:sty m:val="p"/>
                    </m:rPr>
                    <w:rPr>
                      <w:rFonts w:ascii="Cambria Math" w:hAnsi="Cambria Math"/>
                      <w:sz w:val="18"/>
                      <w:szCs w:val="18"/>
                    </w:rPr>
                    <m:t> </m:t>
                  </m:r>
                  <m:func>
                    <m:funcPr>
                      <m:ctrlPr>
                        <w:rPr>
                          <w:rFonts w:ascii="Cambria Math" w:hAnsi="Cambria Math"/>
                          <w:iCs/>
                          <w:sz w:val="18"/>
                          <w:szCs w:val="18"/>
                        </w:rPr>
                      </m:ctrlPr>
                    </m:funcPr>
                    <m:fName>
                      <m:r>
                        <m:rPr>
                          <m:sty m:val="p"/>
                        </m:rPr>
                        <w:rPr>
                          <w:rFonts w:ascii="Cambria Math" w:hAnsi="Cambria Math"/>
                          <w:sz w:val="18"/>
                          <w:szCs w:val="18"/>
                        </w:rPr>
                        <m:t>mod</m:t>
                      </m:r>
                      <m:ctrlPr>
                        <w:rPr>
                          <w:rFonts w:ascii="Cambria Math" w:hAnsi="Cambria Math"/>
                          <w:iCs/>
                          <w:sz w:val="18"/>
                          <w:szCs w:val="18"/>
                        </w:rPr>
                      </m:ctrlPr>
                    </m:fName>
                    <m:e>
                      <m:r>
                        <m:rPr>
                          <m:sty m:val="p"/>
                        </m:rPr>
                        <w:rPr>
                          <w:rFonts w:ascii="Cambria Math" w:hAnsi="Cambria Math"/>
                          <w:sz w:val="18"/>
                          <w:szCs w:val="18"/>
                        </w:rPr>
                        <m:t> </m:t>
                      </m:r>
                      <m:ctrlPr>
                        <w:rPr>
                          <w:rFonts w:ascii="Cambria Math" w:hAnsi="Cambria Math"/>
                          <w:iCs/>
                          <w:sz w:val="18"/>
                          <w:szCs w:val="18"/>
                        </w:rPr>
                      </m:ctrlPr>
                    </m:e>
                  </m:func>
                  <m:r>
                    <m:rPr>
                      <m:sty m:val="p"/>
                    </m:rPr>
                    <w:rPr>
                      <w:rFonts w:ascii="Cambria Math" w:hAnsi="Cambria Math"/>
                      <w:sz w:val="18"/>
                      <w:szCs w:val="18"/>
                    </w:rPr>
                    <m:t>360</m:t>
                  </m:r>
                  <m:r>
                    <m:rPr>
                      <m:sty m:val="p"/>
                    </m:rPr>
                    <w:rPr>
                      <w:rFonts w:ascii="Cambria Math" w:hAnsi="Cambria Math"/>
                      <w:sz w:val="18"/>
                      <w:szCs w:val="18"/>
                      <w:lang w:eastAsia="zh-CN"/>
                    </w:rPr>
                    <m:t xml:space="preserve">,  </m:t>
                  </m:r>
                  <m:r>
                    <m:rPr>
                      <m:sty m:val="p"/>
                    </m:rPr>
                    <w:rPr>
                      <w:rFonts w:ascii="Cambria Math" w:hAnsi="Cambria Math"/>
                      <w:sz w:val="18"/>
                      <w:szCs w:val="18"/>
                    </w:rPr>
                    <m:t>σ</m:t>
                  </m:r>
                  <m:r>
                    <m:rPr>
                      <m:nor/>
                      <m:sty m:val="p"/>
                    </m:rPr>
                    <w:rPr>
                      <w:b w:val="0"/>
                      <w:i w:val="0"/>
                      <w:sz w:val="18"/>
                      <w:szCs w:val="18"/>
                    </w:rPr>
                    <m:t>=-1</m:t>
                  </m:r>
                  <m:r>
                    <m:rPr>
                      <m:nor/>
                      <m:sty m:val="p"/>
                    </m:rPr>
                    <w:rPr>
                      <w:rFonts w:ascii="Cambria Math"/>
                      <w:b w:val="0"/>
                      <w:i w:val="0"/>
                      <w:sz w:val="18"/>
                      <w:szCs w:val="18"/>
                    </w:rPr>
                    <m:t xml:space="preserve">     </m:t>
                  </m:r>
                  <m:ctrlPr>
                    <w:rPr>
                      <w:rFonts w:ascii="Cambria Math" w:hAnsi="Cambria Math"/>
                      <w:sz w:val="18"/>
                      <w:szCs w:val="18"/>
                    </w:rPr>
                  </m:ctrlPr>
                </m:e>
              </m:mr>
              <m:mr>
                <m:e>
                  <m:r>
                    <m:rPr>
                      <m:sty m:val="p"/>
                    </m:rPr>
                    <w:rPr>
                      <w:rFonts w:ascii="Cambria Math" w:hAnsi="Cambria Math"/>
                      <w:sz w:val="18"/>
                      <w:szCs w:val="18"/>
                    </w:rPr>
                    <m:t>ψ</m:t>
                  </m:r>
                  <m:d>
                    <m:dPr>
                      <m:ctrlPr>
                        <w:rPr>
                          <w:rFonts w:ascii="Cambria Math" w:hAnsi="Cambria Math"/>
                          <w:i/>
                          <w:sz w:val="18"/>
                          <w:szCs w:val="18"/>
                        </w:rPr>
                      </m:ctrlPr>
                    </m:dPr>
                    <m:e>
                      <m:r>
                        <m:rPr>
                          <m:sty m:val="p"/>
                        </m:rPr>
                        <w:rPr>
                          <w:rFonts w:ascii="Cambria Math" w:hAnsi="Cambria Math"/>
                          <w:sz w:val="18"/>
                          <w:szCs w:val="18"/>
                        </w:rPr>
                        <m:t>k</m:t>
                      </m:r>
                      <m:ctrlPr>
                        <w:rPr>
                          <w:rFonts w:ascii="Cambria Math" w:hAnsi="Cambria Math"/>
                          <w:i/>
                          <w:sz w:val="18"/>
                          <w:szCs w:val="18"/>
                        </w:rPr>
                      </m:ctrlPr>
                    </m:e>
                  </m:d>
                  <m:r>
                    <m:rPr>
                      <m:sty m:val="p"/>
                    </m:rPr>
                    <w:rPr>
                      <w:rFonts w:ascii="Cambria Math" w:hAnsi="Cambria Math"/>
                      <w:sz w:val="18"/>
                      <w:szCs w:val="18"/>
                    </w:rPr>
                    <m:t>,  σ</m:t>
                  </m:r>
                  <m:r>
                    <m:rPr>
                      <m:nor/>
                      <m:sty m:val="p"/>
                    </m:rPr>
                    <w:rPr>
                      <w:b w:val="0"/>
                      <w:i w:val="0"/>
                      <w:sz w:val="18"/>
                      <w:szCs w:val="18"/>
                    </w:rPr>
                    <m:t>=0</m:t>
                  </m:r>
                  <m:r>
                    <m:rPr>
                      <m:nor/>
                      <m:sty m:val="p"/>
                    </m:rPr>
                    <w:rPr>
                      <w:rFonts w:ascii="Cambria Math"/>
                      <w:b w:val="0"/>
                      <w:i w:val="0"/>
                      <w:sz w:val="18"/>
                      <w:szCs w:val="18"/>
                    </w:rPr>
                    <m:t xml:space="preserve">                                      </m:t>
                  </m:r>
                  <m:ctrlPr>
                    <w:rPr>
                      <w:rFonts w:ascii="Cambria Math" w:hAnsi="Cambria Math"/>
                      <w:sz w:val="18"/>
                      <w:szCs w:val="18"/>
                    </w:rPr>
                  </m:ctrlPr>
                </m:e>
              </m:mr>
              <m:mr>
                <m:e>
                  <m:d>
                    <m:dPr>
                      <m:ctrlPr>
                        <w:rPr>
                          <w:rFonts w:ascii="Cambria Math" w:hAnsi="Cambria Math"/>
                          <w:i/>
                          <w:sz w:val="18"/>
                          <w:szCs w:val="18"/>
                        </w:rPr>
                      </m:ctrlPr>
                    </m:dPr>
                    <m:e>
                      <m:r>
                        <m:rPr>
                          <m:sty m:val="p"/>
                        </m:rPr>
                        <w:rPr>
                          <w:rFonts w:ascii="Cambria Math" w:hAnsi="Cambria Math"/>
                          <w:sz w:val="18"/>
                          <w:szCs w:val="18"/>
                        </w:rPr>
                        <m:t>ψ</m:t>
                      </m:r>
                      <m:d>
                        <m:dPr>
                          <m:ctrlPr>
                            <w:rPr>
                              <w:rFonts w:ascii="Cambria Math" w:hAnsi="Cambria Math"/>
                              <w:i/>
                              <w:sz w:val="18"/>
                              <w:szCs w:val="18"/>
                            </w:rPr>
                          </m:ctrlPr>
                        </m:dPr>
                        <m:e>
                          <m:r>
                            <m:rPr>
                              <m:sty m:val="p"/>
                            </m:rPr>
                            <w:rPr>
                              <w:rFonts w:ascii="Cambria Math" w:hAnsi="Cambria Math"/>
                              <w:sz w:val="18"/>
                              <w:szCs w:val="18"/>
                            </w:rPr>
                            <m:t>k</m:t>
                          </m:r>
                          <m:ctrlPr>
                            <w:rPr>
                              <w:rFonts w:ascii="Cambria Math" w:hAnsi="Cambria Math"/>
                              <w:i/>
                              <w:sz w:val="18"/>
                              <w:szCs w:val="18"/>
                            </w:rPr>
                          </m:ctrlPr>
                        </m:e>
                      </m:d>
                      <m:r>
                        <m:rPr>
                          <m:sty m:val="p"/>
                        </m:rPr>
                        <w:rPr>
                          <w:rFonts w:ascii="Cambria Math" w:hAnsi="Cambria Math"/>
                          <w:sz w:val="18"/>
                          <w:szCs w:val="18"/>
                        </w:rPr>
                        <m:t>+45</m:t>
                      </m:r>
                      <m:ctrlPr>
                        <w:rPr>
                          <w:rFonts w:ascii="Cambria Math" w:hAnsi="Cambria Math"/>
                          <w:i/>
                          <w:sz w:val="18"/>
                          <w:szCs w:val="18"/>
                        </w:rPr>
                      </m:ctrlPr>
                    </m:e>
                  </m:d>
                  <m:r>
                    <m:rPr>
                      <m:sty m:val="p"/>
                    </m:rPr>
                    <w:rPr>
                      <w:rFonts w:ascii="Cambria Math" w:hAnsi="Cambria Math"/>
                      <w:sz w:val="18"/>
                      <w:szCs w:val="18"/>
                    </w:rPr>
                    <m:t> </m:t>
                  </m:r>
                  <m:func>
                    <m:funcPr>
                      <m:ctrlPr>
                        <w:rPr>
                          <w:rFonts w:ascii="Cambria Math" w:hAnsi="Cambria Math"/>
                          <w:iCs/>
                          <w:sz w:val="18"/>
                          <w:szCs w:val="18"/>
                        </w:rPr>
                      </m:ctrlPr>
                    </m:funcPr>
                    <m:fName>
                      <m:r>
                        <m:rPr>
                          <m:sty m:val="p"/>
                        </m:rPr>
                        <w:rPr>
                          <w:rFonts w:ascii="Cambria Math" w:hAnsi="Cambria Math"/>
                          <w:sz w:val="18"/>
                          <w:szCs w:val="18"/>
                        </w:rPr>
                        <m:t>mod</m:t>
                      </m:r>
                      <m:ctrlPr>
                        <w:rPr>
                          <w:rFonts w:ascii="Cambria Math" w:hAnsi="Cambria Math"/>
                          <w:iCs/>
                          <w:sz w:val="18"/>
                          <w:szCs w:val="18"/>
                        </w:rPr>
                      </m:ctrlPr>
                    </m:fName>
                    <m:e>
                      <m:r>
                        <m:rPr>
                          <m:sty m:val="p"/>
                        </m:rPr>
                        <w:rPr>
                          <w:rFonts w:ascii="Cambria Math" w:hAnsi="Cambria Math"/>
                          <w:sz w:val="18"/>
                          <w:szCs w:val="18"/>
                        </w:rPr>
                        <m:t> </m:t>
                      </m:r>
                      <m:ctrlPr>
                        <w:rPr>
                          <w:rFonts w:ascii="Cambria Math" w:hAnsi="Cambria Math"/>
                          <w:iCs/>
                          <w:sz w:val="18"/>
                          <w:szCs w:val="18"/>
                        </w:rPr>
                      </m:ctrlPr>
                    </m:e>
                  </m:func>
                  <m:r>
                    <m:rPr>
                      <m:sty m:val="p"/>
                    </m:rPr>
                    <w:rPr>
                      <w:rFonts w:ascii="Cambria Math" w:hAnsi="Cambria Math"/>
                      <w:sz w:val="18"/>
                      <w:szCs w:val="18"/>
                    </w:rPr>
                    <m:t>360,  σ</m:t>
                  </m:r>
                  <m:r>
                    <m:rPr>
                      <m:sty m:val="p"/>
                    </m:rPr>
                    <w:rPr>
                      <w:rFonts w:hint="eastAsia" w:ascii="Cambria Math" w:hAnsi="Cambria Math"/>
                      <w:sz w:val="18"/>
                      <w:szCs w:val="18"/>
                      <w:lang w:eastAsia="zh-CN"/>
                    </w:rPr>
                    <m:t>=</m:t>
                  </m:r>
                  <m:r>
                    <m:rPr>
                      <m:sty m:val="p"/>
                    </m:rPr>
                    <w:rPr>
                      <w:rFonts w:ascii="Cambria Math" w:hAnsi="Cambria Math"/>
                      <w:sz w:val="18"/>
                      <w:szCs w:val="18"/>
                    </w:rPr>
                    <m:t>1</m:t>
                  </m:r>
                  <m:ctrlPr>
                    <w:rPr>
                      <w:rFonts w:ascii="Cambria Math" w:hAnsi="Cambria Math"/>
                      <w:i/>
                      <w:sz w:val="18"/>
                      <w:szCs w:val="18"/>
                    </w:rPr>
                  </m:ctrlPr>
                </m:e>
              </m:mr>
            </m:m>
            <w:bookmarkEnd w:id="1"/>
            <m:ctrlPr>
              <w:rPr>
                <w:rFonts w:ascii="Cambria Math" w:hAnsi="Cambria Math"/>
                <w:i/>
                <w:sz w:val="18"/>
                <w:szCs w:val="18"/>
              </w:rPr>
            </m:ctrlPr>
          </m:e>
        </m:d>
      </m:oMath>
      <w:r>
        <w:fldChar w:fldCharType="end"/>
      </w:r>
      <w:r>
        <w:rPr>
          <w:sz w:val="21"/>
          <w:szCs w:val="21"/>
        </w:rPr>
        <w:t xml:space="preserve">     (</w:t>
      </w:r>
      <w:r>
        <w:rPr>
          <w:rFonts w:hint="eastAsia"/>
          <w:sz w:val="21"/>
          <w:szCs w:val="21"/>
        </w:rPr>
        <w:t>1)</w:t>
      </w:r>
    </w:p>
    <w:p>
      <w:pPr>
        <w:ind w:firstLine="206" w:firstLineChars="100"/>
        <w:rPr>
          <w:rFonts w:ascii="宋体" w:hAnsi="宋体"/>
          <w:szCs w:val="21"/>
        </w:rPr>
      </w:pPr>
    </w:p>
    <w:p>
      <w:pPr>
        <w:rPr>
          <w:rFonts w:hint="eastAsia"/>
          <w:color w:val="FF0000"/>
          <w:sz w:val="18"/>
          <w:szCs w:val="18"/>
        </w:rPr>
      </w:pPr>
      <w:r>
        <w:rPr>
          <w:rFonts w:hint="eastAsia"/>
          <w:color w:val="FF0000"/>
          <w:sz w:val="18"/>
          <w:szCs w:val="18"/>
        </w:rPr>
        <w:t>（图的标题小五号字，</w:t>
      </w:r>
      <w:r>
        <w:rPr>
          <w:rFonts w:hint="eastAsia" w:ascii="Calibri" w:eastAsia="宋体"/>
          <w:color w:val="FF0000"/>
          <w:sz w:val="18"/>
          <w:szCs w:val="18"/>
          <w:lang w:val="en-US" w:eastAsia="zh-CN"/>
        </w:rPr>
        <w:t>图中文字六号字，</w:t>
      </w:r>
      <w:r>
        <w:rPr>
          <w:rFonts w:hint="eastAsia"/>
          <w:b/>
          <w:bCs/>
          <w:color w:val="FF0000"/>
          <w:sz w:val="18"/>
          <w:szCs w:val="18"/>
        </w:rPr>
        <w:t>子图需分别给出相应的中、英文子图题</w:t>
      </w:r>
      <w:r>
        <w:rPr>
          <w:rFonts w:hint="eastAsia"/>
          <w:color w:val="FF0000"/>
          <w:sz w:val="18"/>
          <w:szCs w:val="18"/>
        </w:rPr>
        <w:t>）</w:t>
      </w:r>
    </w:p>
    <w:p>
      <w:pPr>
        <w:jc w:val="both"/>
        <w:rPr>
          <w:rFonts w:hint="eastAsia"/>
          <w:color w:val="FF0000"/>
          <w:sz w:val="18"/>
          <w:szCs w:val="18"/>
          <w:lang w:val="en-US" w:eastAsia="zh-CN"/>
        </w:rPr>
      </w:pPr>
      <w:r>
        <w:rPr>
          <w:rFonts w:hint="eastAsia"/>
          <w:b/>
          <w:bCs/>
          <w:color w:val="FF0000"/>
          <w:sz w:val="18"/>
          <w:szCs w:val="18"/>
          <w:lang w:val="en-US" w:eastAsia="zh-CN"/>
        </w:rPr>
        <w:t>注意：</w:t>
      </w:r>
      <w:r>
        <w:rPr>
          <w:rFonts w:hint="eastAsia"/>
          <w:color w:val="FF0000"/>
          <w:sz w:val="18"/>
          <w:szCs w:val="18"/>
          <w:lang w:val="en-US" w:eastAsia="zh-CN"/>
        </w:rPr>
        <w:t>使用清晰度高的彩图；图中坐标轴刻度朝内（即第一象限），且无刻度值的边线不标刻度线（一般为右侧、上侧）；横纵坐标标目形式为“名称/单位”；图中不使用英文单词。</w:t>
      </w:r>
    </w:p>
    <w:p>
      <w:pPr>
        <w:jc w:val="both"/>
        <w:rPr>
          <w:sz w:val="18"/>
          <w:szCs w:val="18"/>
        </w:rPr>
      </w:pPr>
      <w:r>
        <w:rPr>
          <w:sz w:val="18"/>
          <w:szCs w:val="18"/>
        </w:rPr>
        <w:drawing>
          <wp:inline distT="0" distB="0" distL="0" distR="0">
            <wp:extent cx="2743200" cy="1924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43200" cy="1924050"/>
                    </a:xfrm>
                    <a:prstGeom prst="rect">
                      <a:avLst/>
                    </a:prstGeom>
                    <a:noFill/>
                    <a:ln>
                      <a:noFill/>
                    </a:ln>
                  </pic:spPr>
                </pic:pic>
              </a:graphicData>
            </a:graphic>
          </wp:inline>
        </w:drawing>
      </w:r>
    </w:p>
    <w:p>
      <w:pPr>
        <w:pStyle w:val="32"/>
      </w:pPr>
      <w:r>
        <w:t>图1  不同浸水时间下胶黏剂试验件的真实应力-应变曲线</w:t>
      </w:r>
    </w:p>
    <w:p>
      <w:pPr>
        <w:pStyle w:val="32"/>
        <w:rPr>
          <w:rFonts w:hint="eastAsia"/>
        </w:rPr>
      </w:pPr>
      <w:r>
        <w:t>Fig.1  Stress-strain curve of adhesive epoxy for different days of immersion in wate</w:t>
      </w:r>
      <w:r>
        <w:rPr>
          <w:rFonts w:hint="eastAsia"/>
        </w:rPr>
        <w:t>r</w:t>
      </w:r>
    </w:p>
    <w:p>
      <w:pPr>
        <w:pStyle w:val="32"/>
        <w:rPr>
          <w:rFonts w:hint="eastAsia" w:eastAsia="宋体"/>
          <w:color w:val="FF0000"/>
          <w:lang w:eastAsia="zh-CN"/>
        </w:rPr>
      </w:pPr>
    </w:p>
    <w:p>
      <w:pPr>
        <w:rPr>
          <w:szCs w:val="21"/>
        </w:rPr>
      </w:pPr>
    </w:p>
    <w:p>
      <w:pPr>
        <w:jc w:val="center"/>
        <w:rPr>
          <w:szCs w:val="21"/>
        </w:rPr>
      </w:pPr>
      <w:r>
        <w:rPr>
          <w:rFonts w:hint="eastAsia"/>
          <w:szCs w:val="21"/>
        </w:rPr>
        <w:drawing>
          <wp:inline distT="0" distB="0" distL="0" distR="0">
            <wp:extent cx="2514600" cy="1200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14600" cy="1200150"/>
                    </a:xfrm>
                    <a:prstGeom prst="rect">
                      <a:avLst/>
                    </a:prstGeom>
                    <a:noFill/>
                    <a:ln>
                      <a:noFill/>
                    </a:ln>
                  </pic:spPr>
                </pic:pic>
              </a:graphicData>
            </a:graphic>
          </wp:inline>
        </w:drawing>
      </w:r>
    </w:p>
    <w:p>
      <w:pPr>
        <w:jc w:val="center"/>
        <w:rPr>
          <w:sz w:val="18"/>
          <w:szCs w:val="18"/>
        </w:rPr>
      </w:pPr>
      <w:r>
        <w:rPr>
          <w:sz w:val="18"/>
          <w:szCs w:val="18"/>
        </w:rPr>
        <w:t>（a）有限元模型的网格划分和全局坐标系</w:t>
      </w:r>
    </w:p>
    <w:p>
      <w:pPr>
        <w:jc w:val="center"/>
        <w:rPr>
          <w:sz w:val="18"/>
          <w:szCs w:val="18"/>
        </w:rPr>
      </w:pPr>
      <w:r>
        <w:rPr>
          <w:rFonts w:hint="eastAsia"/>
          <w:sz w:val="18"/>
          <w:szCs w:val="18"/>
        </w:rPr>
        <w:t>（a）</w:t>
      </w:r>
      <w:r>
        <w:rPr>
          <w:sz w:val="18"/>
          <w:szCs w:val="18"/>
        </w:rPr>
        <w:t>Meshing and global coordinat</w:t>
      </w:r>
      <w:r>
        <w:rPr>
          <w:rFonts w:hint="eastAsia"/>
          <w:sz w:val="18"/>
          <w:szCs w:val="18"/>
        </w:rPr>
        <w:t>es</w:t>
      </w:r>
    </w:p>
    <w:p>
      <w:pPr>
        <w:jc w:val="center"/>
        <w:rPr>
          <w:szCs w:val="21"/>
        </w:rPr>
      </w:pPr>
      <w:r>
        <w:rPr>
          <w:rFonts w:hint="eastAsia"/>
          <w:szCs w:val="21"/>
        </w:rPr>
        <w:drawing>
          <wp:inline distT="0" distB="0" distL="0" distR="0">
            <wp:extent cx="2743200" cy="923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43200" cy="923925"/>
                    </a:xfrm>
                    <a:prstGeom prst="rect">
                      <a:avLst/>
                    </a:prstGeom>
                    <a:noFill/>
                    <a:ln>
                      <a:noFill/>
                    </a:ln>
                  </pic:spPr>
                </pic:pic>
              </a:graphicData>
            </a:graphic>
          </wp:inline>
        </w:drawing>
      </w:r>
    </w:p>
    <w:p>
      <w:pPr>
        <w:jc w:val="center"/>
        <w:rPr>
          <w:sz w:val="18"/>
          <w:szCs w:val="18"/>
        </w:rPr>
      </w:pPr>
      <w:r>
        <w:rPr>
          <w:rFonts w:hint="eastAsia"/>
          <w:sz w:val="18"/>
          <w:szCs w:val="18"/>
        </w:rPr>
        <w:t>（b）边界条件和局部坐标系</w:t>
      </w:r>
    </w:p>
    <w:p>
      <w:pPr>
        <w:jc w:val="center"/>
        <w:rPr>
          <w:sz w:val="18"/>
          <w:szCs w:val="18"/>
        </w:rPr>
      </w:pPr>
      <w:r>
        <w:rPr>
          <w:rFonts w:hint="eastAsia"/>
          <w:sz w:val="18"/>
          <w:szCs w:val="18"/>
        </w:rPr>
        <w:t>（b）</w:t>
      </w:r>
      <w:r>
        <w:rPr>
          <w:sz w:val="18"/>
          <w:szCs w:val="18"/>
        </w:rPr>
        <w:t>Boundary conditions and local coordinates</w:t>
      </w:r>
    </w:p>
    <w:p>
      <w:pPr>
        <w:jc w:val="center"/>
        <w:rPr>
          <w:sz w:val="18"/>
          <w:szCs w:val="18"/>
        </w:rPr>
      </w:pPr>
      <w:r>
        <w:rPr>
          <w:rFonts w:hint="eastAsia"/>
          <w:sz w:val="18"/>
          <w:szCs w:val="18"/>
        </w:rPr>
        <w:t>图</w:t>
      </w:r>
      <w:r>
        <w:rPr>
          <w:sz w:val="18"/>
          <w:szCs w:val="18"/>
        </w:rPr>
        <w:t xml:space="preserve">2  </w:t>
      </w:r>
      <w:r>
        <w:rPr>
          <w:rFonts w:hint="eastAsia"/>
          <w:sz w:val="18"/>
          <w:szCs w:val="18"/>
        </w:rPr>
        <w:t>含穿透裂纹修补试验件有限元模型</w:t>
      </w:r>
    </w:p>
    <w:p>
      <w:pPr>
        <w:jc w:val="center"/>
        <w:rPr>
          <w:sz w:val="18"/>
          <w:szCs w:val="18"/>
        </w:rPr>
      </w:pPr>
      <w:r>
        <w:rPr>
          <w:sz w:val="18"/>
          <w:szCs w:val="18"/>
        </w:rPr>
        <w:t>Fig.2  Finite element model of repaired specimen</w:t>
      </w:r>
    </w:p>
    <w:p>
      <w:pPr>
        <w:ind w:firstLine="352" w:firstLineChars="200"/>
        <w:rPr>
          <w:sz w:val="18"/>
          <w:szCs w:val="18"/>
        </w:rPr>
      </w:pPr>
    </w:p>
    <w:p>
      <w:pPr>
        <w:pStyle w:val="3"/>
        <w:jc w:val="left"/>
        <w:rPr>
          <w:rFonts w:ascii="宋体" w:hAnsi="宋体" w:eastAsia="宋体"/>
          <w:color w:val="FF0000"/>
          <w:sz w:val="18"/>
          <w:szCs w:val="18"/>
        </w:rPr>
      </w:pPr>
      <w:r>
        <w:rPr>
          <w:rFonts w:hint="eastAsia" w:ascii="宋体" w:hAnsi="宋体" w:eastAsia="宋体"/>
          <w:color w:val="FF0000"/>
          <w:sz w:val="18"/>
          <w:szCs w:val="18"/>
        </w:rPr>
        <w:t>（</w:t>
      </w:r>
      <w:r>
        <w:rPr>
          <w:rFonts w:hint="eastAsia" w:ascii="宋体" w:hAnsi="宋体" w:eastAsia="宋体"/>
          <w:color w:val="FF0000"/>
          <w:sz w:val="18"/>
          <w:szCs w:val="18"/>
          <w:lang w:eastAsia="zh-CN"/>
        </w:rPr>
        <w:t>推荐使用三线表，</w:t>
      </w:r>
      <w:r>
        <w:rPr>
          <w:rFonts w:hint="eastAsia" w:ascii="宋体" w:hAnsi="宋体" w:eastAsia="宋体"/>
          <w:color w:val="FF0000"/>
          <w:sz w:val="18"/>
          <w:szCs w:val="18"/>
        </w:rPr>
        <w:t>表题、</w:t>
      </w:r>
      <w:r>
        <w:rPr>
          <w:rFonts w:hint="eastAsia" w:ascii="宋体" w:hAnsi="宋体" w:eastAsia="宋体"/>
          <w:color w:val="FF0000"/>
          <w:sz w:val="18"/>
          <w:szCs w:val="18"/>
          <w:lang w:eastAsia="zh-CN"/>
        </w:rPr>
        <w:t>表中</w:t>
      </w:r>
      <w:r>
        <w:rPr>
          <w:rFonts w:hint="eastAsia" w:ascii="宋体" w:hAnsi="宋体" w:eastAsia="宋体"/>
          <w:color w:val="FF0000"/>
          <w:sz w:val="18"/>
          <w:szCs w:val="18"/>
        </w:rPr>
        <w:t>文字</w:t>
      </w:r>
      <w:r>
        <w:rPr>
          <w:rFonts w:hint="eastAsia" w:ascii="宋体" w:hAnsi="宋体" w:eastAsia="宋体"/>
          <w:color w:val="FF0000"/>
          <w:sz w:val="18"/>
          <w:szCs w:val="18"/>
          <w:lang w:eastAsia="zh-CN"/>
        </w:rPr>
        <w:t>均</w:t>
      </w:r>
      <w:r>
        <w:rPr>
          <w:rFonts w:hint="eastAsia" w:ascii="宋体" w:hAnsi="宋体" w:eastAsia="宋体"/>
          <w:color w:val="FF0000"/>
          <w:sz w:val="18"/>
          <w:szCs w:val="18"/>
        </w:rPr>
        <w:t>为小五号字）</w:t>
      </w:r>
    </w:p>
    <w:p>
      <w:pPr>
        <w:pStyle w:val="3"/>
        <w:jc w:val="center"/>
        <w:rPr>
          <w:rFonts w:ascii="Times New Roman" w:hAnsi="Times New Roman"/>
          <w:color w:val="000000"/>
          <w:sz w:val="18"/>
          <w:szCs w:val="18"/>
        </w:rPr>
      </w:pPr>
      <w:r>
        <w:rPr>
          <w:rFonts w:ascii="Times New Roman" w:hAnsi="Times New Roman"/>
          <w:color w:val="000000"/>
          <w:sz w:val="18"/>
          <w:szCs w:val="18"/>
        </w:rPr>
        <w:t xml:space="preserve">表 </w:t>
      </w:r>
      <w:r>
        <w:rPr>
          <w:rFonts w:ascii="Times New Roman" w:hAnsi="Times New Roman"/>
          <w:color w:val="000000"/>
          <w:sz w:val="18"/>
          <w:szCs w:val="18"/>
        </w:rPr>
        <w:fldChar w:fldCharType="begin"/>
      </w:r>
      <w:r>
        <w:rPr>
          <w:rFonts w:ascii="Times New Roman" w:hAnsi="Times New Roman"/>
          <w:color w:val="000000"/>
          <w:sz w:val="18"/>
          <w:szCs w:val="18"/>
        </w:rPr>
        <w:instrText xml:space="preserve"> SEQ 表 \* ARABIC </w:instrText>
      </w:r>
      <w:r>
        <w:rPr>
          <w:rFonts w:ascii="Times New Roman" w:hAnsi="Times New Roman"/>
          <w:color w:val="000000"/>
          <w:sz w:val="18"/>
          <w:szCs w:val="18"/>
        </w:rPr>
        <w:fldChar w:fldCharType="separate"/>
      </w:r>
      <w:r>
        <w:rPr>
          <w:rFonts w:ascii="Times New Roman" w:hAnsi="Times New Roman"/>
          <w:color w:val="000000"/>
          <w:sz w:val="18"/>
          <w:szCs w:val="18"/>
        </w:rPr>
        <w:t>1</w:t>
      </w:r>
      <w:r>
        <w:rPr>
          <w:rFonts w:ascii="Times New Roman" w:hAnsi="Times New Roman"/>
          <w:color w:val="000000"/>
          <w:sz w:val="18"/>
          <w:szCs w:val="18"/>
        </w:rPr>
        <w:fldChar w:fldCharType="end"/>
      </w:r>
      <w:r>
        <w:rPr>
          <w:rFonts w:ascii="Times New Roman" w:hAnsi="Times New Roman"/>
          <w:color w:val="000000"/>
          <w:sz w:val="18"/>
          <w:szCs w:val="18"/>
        </w:rPr>
        <w:t xml:space="preserve">  </w:t>
      </w:r>
      <w:r>
        <w:rPr>
          <w:rFonts w:hint="eastAsia" w:ascii="Times New Roman" w:hAnsi="Times New Roman"/>
          <w:color w:val="000000"/>
          <w:sz w:val="18"/>
          <w:szCs w:val="18"/>
          <w:lang w:eastAsia="zh-CN"/>
        </w:rPr>
        <w:t>实验件材料</w:t>
      </w:r>
      <w:r>
        <w:rPr>
          <w:rFonts w:ascii="Times New Roman" w:hAnsi="Times New Roman"/>
          <w:color w:val="000000"/>
          <w:sz w:val="18"/>
          <w:szCs w:val="18"/>
        </w:rPr>
        <w:t>参数</w:t>
      </w:r>
    </w:p>
    <w:p>
      <w:pPr>
        <w:pStyle w:val="3"/>
        <w:jc w:val="center"/>
        <w:rPr>
          <w:rFonts w:ascii="Times New Roman" w:hAnsi="宋体" w:eastAsia="宋体"/>
          <w:bCs/>
          <w:sz w:val="18"/>
          <w:szCs w:val="18"/>
        </w:rPr>
      </w:pPr>
      <w:r>
        <w:rPr>
          <w:rFonts w:ascii="Times New Roman" w:hAnsi="宋体" w:eastAsia="宋体"/>
          <w:bCs/>
          <w:sz w:val="18"/>
          <w:szCs w:val="18"/>
        </w:rPr>
        <w:t>Tab</w:t>
      </w:r>
      <w:r>
        <w:rPr>
          <w:rFonts w:hint="eastAsia" w:ascii="Times New Roman" w:hAnsi="宋体" w:eastAsia="宋体"/>
          <w:bCs/>
          <w:sz w:val="18"/>
          <w:szCs w:val="18"/>
        </w:rPr>
        <w:t>.</w:t>
      </w:r>
      <w:r>
        <w:rPr>
          <w:rFonts w:ascii="Times New Roman" w:hAnsi="宋体" w:eastAsia="宋体"/>
          <w:bCs/>
          <w:sz w:val="18"/>
          <w:szCs w:val="18"/>
        </w:rPr>
        <w:fldChar w:fldCharType="begin"/>
      </w:r>
      <w:r>
        <w:rPr>
          <w:rFonts w:ascii="Times New Roman" w:hAnsi="宋体" w:eastAsia="宋体"/>
          <w:bCs/>
          <w:sz w:val="18"/>
          <w:szCs w:val="18"/>
        </w:rPr>
        <w:instrText xml:space="preserve"> SEQ Table \* ARABIC </w:instrText>
      </w:r>
      <w:r>
        <w:rPr>
          <w:rFonts w:ascii="Times New Roman" w:hAnsi="宋体" w:eastAsia="宋体"/>
          <w:bCs/>
          <w:sz w:val="18"/>
          <w:szCs w:val="18"/>
        </w:rPr>
        <w:fldChar w:fldCharType="separate"/>
      </w:r>
      <w:r>
        <w:rPr>
          <w:rFonts w:ascii="Times New Roman" w:hAnsi="宋体" w:eastAsia="宋体"/>
          <w:bCs/>
          <w:sz w:val="18"/>
          <w:szCs w:val="18"/>
        </w:rPr>
        <w:t>1</w:t>
      </w:r>
      <w:r>
        <w:rPr>
          <w:rFonts w:ascii="Times New Roman" w:hAnsi="宋体" w:eastAsia="宋体"/>
          <w:bCs/>
          <w:sz w:val="18"/>
          <w:szCs w:val="18"/>
        </w:rPr>
        <w:fldChar w:fldCharType="end"/>
      </w:r>
      <w:r>
        <w:rPr>
          <w:rFonts w:ascii="Times New Roman" w:hAnsi="宋体" w:eastAsia="宋体"/>
          <w:bCs/>
          <w:sz w:val="18"/>
          <w:szCs w:val="18"/>
        </w:rPr>
        <w:t xml:space="preserve"> </w:t>
      </w:r>
      <w:r>
        <w:rPr>
          <w:rFonts w:hint="eastAsia" w:ascii="Times New Roman" w:hAnsi="宋体" w:eastAsia="宋体"/>
          <w:bCs/>
          <w:sz w:val="18"/>
          <w:szCs w:val="18"/>
        </w:rPr>
        <w:t xml:space="preserve"> </w:t>
      </w:r>
      <w:r>
        <w:rPr>
          <w:rFonts w:ascii="Times New Roman" w:hAnsi="宋体" w:eastAsia="宋体"/>
          <w:bCs/>
          <w:sz w:val="18"/>
          <w:szCs w:val="18"/>
        </w:rPr>
        <w:t>M</w:t>
      </w:r>
      <w:r>
        <w:rPr>
          <w:rFonts w:hint="eastAsia" w:ascii="Times New Roman" w:hAnsi="宋体" w:eastAsia="宋体"/>
          <w:bCs/>
          <w:sz w:val="18"/>
          <w:szCs w:val="18"/>
          <w:lang w:eastAsia="zh-CN"/>
        </w:rPr>
        <w:t>aterial</w:t>
      </w:r>
      <w:r>
        <w:rPr>
          <w:rFonts w:ascii="Times New Roman" w:hAnsi="宋体" w:eastAsia="宋体"/>
          <w:bCs/>
          <w:sz w:val="18"/>
          <w:szCs w:val="18"/>
        </w:rPr>
        <w:t xml:space="preserve"> parameters of the experimental article </w:t>
      </w:r>
    </w:p>
    <w:tbl>
      <w:tblPr>
        <w:tblStyle w:val="12"/>
        <w:tblW w:w="4263"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6"/>
        <w:gridCol w:w="850"/>
        <w:gridCol w:w="851"/>
        <w:gridCol w:w="1036"/>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526" w:type="dxa"/>
            <w:tcBorders>
              <w:top w:val="single" w:color="000000" w:sz="12" w:space="0"/>
              <w:bottom w:val="single" w:color="000000" w:sz="8" w:space="0"/>
            </w:tcBorders>
            <w:shd w:val="clear" w:color="auto" w:fill="auto"/>
            <w:vAlign w:val="center"/>
          </w:tcPr>
          <w:p>
            <w:pPr>
              <w:adjustRightInd w:val="0"/>
              <w:snapToGrid w:val="0"/>
              <w:spacing w:line="300" w:lineRule="auto"/>
              <w:jc w:val="center"/>
              <w:rPr>
                <w:sz w:val="18"/>
                <w:szCs w:val="18"/>
              </w:rPr>
            </w:pPr>
            <w:r>
              <w:rPr>
                <w:rFonts w:hint="eastAsia"/>
                <w:sz w:val="18"/>
                <w:szCs w:val="18"/>
              </w:rPr>
              <w:t>材料名称</w:t>
            </w:r>
          </w:p>
        </w:tc>
        <w:tc>
          <w:tcPr>
            <w:tcW w:w="850" w:type="dxa"/>
            <w:tcBorders>
              <w:top w:val="single" w:color="000000" w:sz="12" w:space="0"/>
              <w:bottom w:val="single" w:color="000000" w:sz="8" w:space="0"/>
            </w:tcBorders>
            <w:shd w:val="clear" w:color="auto" w:fill="auto"/>
            <w:vAlign w:val="center"/>
          </w:tcPr>
          <w:p>
            <w:pPr>
              <w:adjustRightInd w:val="0"/>
              <w:snapToGrid w:val="0"/>
              <w:spacing w:line="300" w:lineRule="auto"/>
              <w:jc w:val="center"/>
              <w:rPr>
                <w:sz w:val="18"/>
                <w:szCs w:val="18"/>
              </w:rPr>
            </w:pPr>
            <w:r>
              <w:rPr>
                <w:rFonts w:hint="eastAsia"/>
                <w:sz w:val="18"/>
                <w:szCs w:val="18"/>
              </w:rPr>
              <w:t>弹性模量/</w:t>
            </w:r>
            <w:r>
              <w:rPr>
                <w:sz w:val="18"/>
                <w:szCs w:val="18"/>
              </w:rPr>
              <w:t>MP</w:t>
            </w:r>
            <w:r>
              <w:rPr>
                <w:rFonts w:hint="eastAsia"/>
                <w:sz w:val="18"/>
                <w:szCs w:val="18"/>
              </w:rPr>
              <w:t>a</w:t>
            </w:r>
          </w:p>
        </w:tc>
        <w:tc>
          <w:tcPr>
            <w:tcW w:w="851" w:type="dxa"/>
            <w:tcBorders>
              <w:top w:val="single" w:color="000000" w:sz="12" w:space="0"/>
              <w:bottom w:val="single" w:color="000000" w:sz="8" w:space="0"/>
            </w:tcBorders>
            <w:shd w:val="clear" w:color="auto" w:fill="auto"/>
            <w:vAlign w:val="center"/>
          </w:tcPr>
          <w:p>
            <w:pPr>
              <w:adjustRightInd w:val="0"/>
              <w:snapToGrid w:val="0"/>
              <w:spacing w:line="300" w:lineRule="auto"/>
              <w:jc w:val="center"/>
              <w:rPr>
                <w:sz w:val="18"/>
                <w:szCs w:val="18"/>
              </w:rPr>
            </w:pPr>
            <w:r>
              <w:rPr>
                <w:rFonts w:hint="eastAsia"/>
                <w:sz w:val="18"/>
                <w:szCs w:val="18"/>
              </w:rPr>
              <w:t>泊松比</w:t>
            </w:r>
          </w:p>
        </w:tc>
        <w:tc>
          <w:tcPr>
            <w:tcW w:w="1036" w:type="dxa"/>
            <w:tcBorders>
              <w:top w:val="single" w:color="000000" w:sz="12" w:space="0"/>
              <w:bottom w:val="single" w:color="000000" w:sz="8" w:space="0"/>
            </w:tcBorders>
            <w:vAlign w:val="center"/>
          </w:tcPr>
          <w:p>
            <w:pPr>
              <w:adjustRightInd w:val="0"/>
              <w:snapToGrid w:val="0"/>
              <w:spacing w:line="300" w:lineRule="auto"/>
              <w:jc w:val="center"/>
              <w:rPr>
                <w:sz w:val="18"/>
                <w:szCs w:val="18"/>
              </w:rPr>
            </w:pPr>
            <w:r>
              <w:rPr>
                <w:rFonts w:hint="eastAsia"/>
                <w:sz w:val="18"/>
                <w:szCs w:val="18"/>
              </w:rPr>
              <w:t>密度/（kg</w:t>
            </w:r>
            <w:r>
              <w:rPr>
                <w:sz w:val="18"/>
                <w:szCs w:val="18"/>
              </w:rPr>
              <w:t>/m</w:t>
            </w:r>
            <w:r>
              <w:rPr>
                <w:sz w:val="18"/>
                <w:szCs w:val="18"/>
                <w:vertAlign w:val="superscript"/>
              </w:rPr>
              <w:t>3</w:t>
            </w:r>
            <w:r>
              <w:rPr>
                <w:rFonts w:hint="eastAsia"/>
                <w:sz w:val="18"/>
                <w:szCs w:val="18"/>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526" w:type="dxa"/>
            <w:tcBorders>
              <w:top w:val="single" w:color="000000" w:sz="8" w:space="0"/>
            </w:tcBorders>
            <w:shd w:val="clear" w:color="auto" w:fill="auto"/>
            <w:vAlign w:val="center"/>
          </w:tcPr>
          <w:p>
            <w:pPr>
              <w:adjustRightInd w:val="0"/>
              <w:snapToGrid w:val="0"/>
              <w:spacing w:line="300" w:lineRule="auto"/>
              <w:jc w:val="center"/>
              <w:rPr>
                <w:sz w:val="18"/>
                <w:szCs w:val="18"/>
              </w:rPr>
            </w:pPr>
            <w:r>
              <w:rPr>
                <w:sz w:val="18"/>
                <w:szCs w:val="18"/>
              </w:rPr>
              <w:t>7075</w:t>
            </w:r>
            <w:r>
              <w:rPr>
                <w:rFonts w:hint="eastAsia"/>
                <w:sz w:val="18"/>
                <w:szCs w:val="18"/>
              </w:rPr>
              <w:t>铝合金</w:t>
            </w:r>
          </w:p>
        </w:tc>
        <w:tc>
          <w:tcPr>
            <w:tcW w:w="850" w:type="dxa"/>
            <w:tcBorders>
              <w:top w:val="single" w:color="000000" w:sz="8" w:space="0"/>
            </w:tcBorders>
            <w:shd w:val="clear" w:color="auto" w:fill="auto"/>
            <w:vAlign w:val="center"/>
          </w:tcPr>
          <w:p>
            <w:pPr>
              <w:adjustRightInd w:val="0"/>
              <w:snapToGrid w:val="0"/>
              <w:spacing w:line="300" w:lineRule="auto"/>
              <w:jc w:val="center"/>
              <w:rPr>
                <w:sz w:val="18"/>
                <w:szCs w:val="18"/>
                <w:vertAlign w:val="superscript"/>
              </w:rPr>
            </w:pPr>
            <w:r>
              <w:rPr>
                <w:rFonts w:hint="eastAsia"/>
                <w:sz w:val="18"/>
                <w:szCs w:val="18"/>
              </w:rPr>
              <w:t>7</w:t>
            </w:r>
            <w:r>
              <w:rPr>
                <w:sz w:val="18"/>
                <w:szCs w:val="18"/>
              </w:rPr>
              <w:t>0 000</w:t>
            </w:r>
          </w:p>
        </w:tc>
        <w:tc>
          <w:tcPr>
            <w:tcW w:w="851" w:type="dxa"/>
            <w:tcBorders>
              <w:top w:val="single" w:color="000000" w:sz="8" w:space="0"/>
            </w:tcBorders>
            <w:shd w:val="clear" w:color="auto" w:fill="auto"/>
            <w:vAlign w:val="center"/>
          </w:tcPr>
          <w:p>
            <w:pPr>
              <w:adjustRightInd w:val="0"/>
              <w:snapToGrid w:val="0"/>
              <w:spacing w:line="300" w:lineRule="auto"/>
              <w:jc w:val="center"/>
              <w:rPr>
                <w:sz w:val="18"/>
                <w:szCs w:val="18"/>
              </w:rPr>
            </w:pPr>
            <w:r>
              <w:rPr>
                <w:rFonts w:hint="eastAsia"/>
                <w:sz w:val="18"/>
                <w:szCs w:val="18"/>
              </w:rPr>
              <w:t>0</w:t>
            </w:r>
            <w:r>
              <w:rPr>
                <w:sz w:val="18"/>
                <w:szCs w:val="18"/>
              </w:rPr>
              <w:t>.33</w:t>
            </w:r>
          </w:p>
        </w:tc>
        <w:tc>
          <w:tcPr>
            <w:tcW w:w="1036" w:type="dxa"/>
            <w:tcBorders>
              <w:top w:val="single" w:color="000000" w:sz="8" w:space="0"/>
            </w:tcBorders>
            <w:vAlign w:val="center"/>
          </w:tcPr>
          <w:p>
            <w:pPr>
              <w:adjustRightInd w:val="0"/>
              <w:snapToGrid w:val="0"/>
              <w:spacing w:line="300" w:lineRule="auto"/>
              <w:jc w:val="center"/>
              <w:rPr>
                <w:sz w:val="18"/>
                <w:szCs w:val="18"/>
                <w:vertAlign w:val="superscript"/>
              </w:rPr>
            </w:pPr>
            <w:r>
              <w:rPr>
                <w:rFonts w:hint="eastAsia"/>
                <w:sz w:val="18"/>
                <w:szCs w:val="18"/>
              </w:rPr>
              <w:t>2</w:t>
            </w:r>
            <w:r>
              <w:rPr>
                <w:sz w:val="18"/>
                <w:szCs w:val="18"/>
              </w:rPr>
              <w:t>700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1526" w:type="dxa"/>
            <w:shd w:val="clear" w:color="auto" w:fill="auto"/>
            <w:vAlign w:val="center"/>
          </w:tcPr>
          <w:p>
            <w:pPr>
              <w:adjustRightInd w:val="0"/>
              <w:snapToGrid w:val="0"/>
              <w:spacing w:line="300" w:lineRule="auto"/>
              <w:jc w:val="center"/>
              <w:rPr>
                <w:sz w:val="18"/>
                <w:szCs w:val="18"/>
              </w:rPr>
            </w:pPr>
            <w:r>
              <w:rPr>
                <w:sz w:val="18"/>
                <w:szCs w:val="18"/>
              </w:rPr>
              <w:t>8.8</w:t>
            </w:r>
            <w:r>
              <w:rPr>
                <w:rFonts w:hint="eastAsia"/>
                <w:sz w:val="18"/>
                <w:szCs w:val="18"/>
              </w:rPr>
              <w:t>级高强度螺栓</w:t>
            </w:r>
          </w:p>
        </w:tc>
        <w:tc>
          <w:tcPr>
            <w:tcW w:w="850" w:type="dxa"/>
            <w:shd w:val="clear" w:color="auto" w:fill="auto"/>
            <w:vAlign w:val="center"/>
          </w:tcPr>
          <w:p>
            <w:pPr>
              <w:adjustRightInd w:val="0"/>
              <w:snapToGrid w:val="0"/>
              <w:spacing w:line="300" w:lineRule="auto"/>
              <w:jc w:val="center"/>
              <w:rPr>
                <w:sz w:val="18"/>
                <w:szCs w:val="18"/>
                <w:highlight w:val="yellow"/>
                <w:vertAlign w:val="superscript"/>
              </w:rPr>
            </w:pPr>
            <w:r>
              <w:rPr>
                <w:sz w:val="18"/>
                <w:szCs w:val="18"/>
              </w:rPr>
              <w:t>210 000</w:t>
            </w:r>
          </w:p>
        </w:tc>
        <w:tc>
          <w:tcPr>
            <w:tcW w:w="851" w:type="dxa"/>
            <w:shd w:val="clear" w:color="auto" w:fill="auto"/>
            <w:vAlign w:val="center"/>
          </w:tcPr>
          <w:p>
            <w:pPr>
              <w:adjustRightInd w:val="0"/>
              <w:snapToGrid w:val="0"/>
              <w:spacing w:line="300" w:lineRule="auto"/>
              <w:jc w:val="center"/>
              <w:rPr>
                <w:sz w:val="18"/>
                <w:szCs w:val="18"/>
              </w:rPr>
            </w:pPr>
            <w:r>
              <w:rPr>
                <w:sz w:val="18"/>
                <w:szCs w:val="18"/>
              </w:rPr>
              <w:t>0.3</w:t>
            </w:r>
          </w:p>
        </w:tc>
        <w:tc>
          <w:tcPr>
            <w:tcW w:w="1036" w:type="dxa"/>
            <w:vAlign w:val="center"/>
          </w:tcPr>
          <w:p>
            <w:pPr>
              <w:adjustRightInd w:val="0"/>
              <w:snapToGrid w:val="0"/>
              <w:spacing w:line="300" w:lineRule="auto"/>
              <w:jc w:val="center"/>
              <w:rPr>
                <w:sz w:val="18"/>
                <w:szCs w:val="18"/>
                <w:vertAlign w:val="superscript"/>
              </w:rPr>
            </w:pPr>
            <w:r>
              <w:rPr>
                <w:rFonts w:hint="eastAsia"/>
                <w:sz w:val="18"/>
                <w:szCs w:val="18"/>
              </w:rPr>
              <w:t>7</w:t>
            </w:r>
            <w:r>
              <w:rPr>
                <w:sz w:val="18"/>
                <w:szCs w:val="18"/>
              </w:rPr>
              <w:t>900</w:t>
            </w:r>
          </w:p>
        </w:tc>
      </w:tr>
    </w:tbl>
    <w:p>
      <w:pPr>
        <w:rPr>
          <w:color w:val="FF0000"/>
          <w:sz w:val="18"/>
          <w:szCs w:val="18"/>
          <w:lang w:val="zh-CN" w:eastAsia="zh-CN"/>
        </w:rPr>
      </w:pPr>
    </w:p>
    <w:p>
      <w:pPr>
        <w:rPr>
          <w:sz w:val="15"/>
          <w:szCs w:val="15"/>
          <w:lang w:val="zh-CN"/>
        </w:rPr>
      </w:pPr>
    </w:p>
    <w:p>
      <w:pPr>
        <w:pStyle w:val="3"/>
        <w:jc w:val="left"/>
        <w:rPr>
          <w:rFonts w:ascii="宋体" w:hAnsi="宋体" w:eastAsia="宋体"/>
          <w:sz w:val="18"/>
          <w:szCs w:val="18"/>
        </w:rPr>
      </w:pPr>
      <w:r>
        <w:rPr>
          <w:rFonts w:hint="eastAsia" w:ascii="宋体" w:hAnsi="宋体" w:eastAsia="宋体"/>
          <w:color w:val="FF0000"/>
          <w:szCs w:val="22"/>
        </w:rPr>
        <w:t>（算法中标题、文字全部为小五号字）</w:t>
      </w:r>
    </w:p>
    <w:p>
      <w:pPr>
        <w:pStyle w:val="3"/>
        <w:jc w:val="center"/>
        <w:rPr>
          <w:rFonts w:ascii="Times New Roman" w:hAnsi="Times New Roman"/>
          <w:color w:val="000000"/>
          <w:sz w:val="18"/>
          <w:szCs w:val="18"/>
        </w:rPr>
      </w:pPr>
      <w:r>
        <w:rPr>
          <w:rFonts w:ascii="Times New Roman" w:hAnsi="Times New Roman"/>
          <w:color w:val="000000"/>
          <w:sz w:val="18"/>
          <w:szCs w:val="18"/>
        </w:rPr>
        <w:t xml:space="preserve">算法1  </w:t>
      </w:r>
      <w:r>
        <w:rPr>
          <w:rFonts w:hint="eastAsia" w:ascii="Times New Roman" w:hAnsi="Times New Roman"/>
          <w:color w:val="000000"/>
          <w:sz w:val="18"/>
          <w:szCs w:val="18"/>
          <w:lang w:eastAsia="zh-CN"/>
        </w:rPr>
        <w:t>可控内存区域搜索</w:t>
      </w:r>
    </w:p>
    <w:p>
      <w:pPr>
        <w:pStyle w:val="3"/>
        <w:jc w:val="center"/>
        <w:rPr>
          <w:rFonts w:ascii="Times New Roman" w:hAnsi="Times New Roman" w:eastAsia="宋体"/>
          <w:bCs/>
          <w:sz w:val="18"/>
          <w:szCs w:val="18"/>
        </w:rPr>
      </w:pPr>
      <w:r>
        <w:rPr>
          <w:rFonts w:ascii="Times New Roman" w:hAnsi="Times New Roman" w:eastAsia="宋体"/>
          <w:bCs/>
          <w:sz w:val="18"/>
          <w:szCs w:val="18"/>
        </w:rPr>
        <w:t>Alg.1  S</w:t>
      </w:r>
      <w:r>
        <w:rPr>
          <w:rFonts w:hint="eastAsia" w:ascii="Times New Roman" w:hAnsi="Times New Roman" w:eastAsia="宋体"/>
          <w:bCs/>
          <w:sz w:val="18"/>
          <w:szCs w:val="18"/>
          <w:lang w:eastAsia="zh-CN"/>
        </w:rPr>
        <w:t>earching</w:t>
      </w:r>
      <w:r>
        <w:rPr>
          <w:rFonts w:ascii="Times New Roman" w:hAnsi="Times New Roman" w:eastAsia="宋体"/>
          <w:bCs/>
          <w:sz w:val="18"/>
          <w:szCs w:val="18"/>
        </w:rPr>
        <w:t xml:space="preserve"> for controllable memory area</w:t>
      </w:r>
    </w:p>
    <w:tbl>
      <w:tblPr>
        <w:tblStyle w:val="12"/>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1" w:type="dxa"/>
            <w:tcBorders>
              <w:bottom w:val="single" w:color="auto" w:sz="4" w:space="0"/>
            </w:tcBorders>
            <w:shd w:val="clear" w:color="auto" w:fill="auto"/>
          </w:tcPr>
          <w:p>
            <w:pPr>
              <w:rPr>
                <w:sz w:val="18"/>
                <w:szCs w:val="18"/>
                <w:lang w:val="zh-CN"/>
              </w:rPr>
            </w:pPr>
            <w:r>
              <w:rPr>
                <w:rFonts w:hint="eastAsia"/>
                <w:b/>
                <w:bCs/>
                <w:sz w:val="18"/>
                <w:szCs w:val="18"/>
                <w:lang w:val="zh-CN"/>
              </w:rPr>
              <w:t>输入：</w:t>
            </w:r>
            <w:r>
              <w:rPr>
                <w:rFonts w:hint="eastAsia"/>
                <w:sz w:val="18"/>
                <w:szCs w:val="18"/>
                <w:lang w:val="zh-CN"/>
              </w:rPr>
              <w:t>源程序内存空间memory</w:t>
            </w:r>
          </w:p>
          <w:p>
            <w:pPr>
              <w:rPr>
                <w:sz w:val="18"/>
                <w:szCs w:val="18"/>
                <w:lang w:val="zh-CN"/>
              </w:rPr>
            </w:pPr>
            <w:r>
              <w:rPr>
                <w:rFonts w:hint="eastAsia"/>
                <w:b/>
                <w:bCs/>
                <w:sz w:val="18"/>
                <w:szCs w:val="18"/>
                <w:lang w:val="zh-CN"/>
              </w:rPr>
              <w:t>输出：</w:t>
            </w:r>
            <w:r>
              <w:rPr>
                <w:rFonts w:hint="eastAsia"/>
                <w:sz w:val="18"/>
                <w:szCs w:val="18"/>
                <w:lang w:val="zh-CN"/>
              </w:rPr>
              <w:t>可控内存区域集合memSet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1" w:type="dxa"/>
            <w:tcBorders>
              <w:top w:val="single" w:color="auto" w:sz="4" w:space="0"/>
              <w:bottom w:val="single" w:color="auto" w:sz="12" w:space="0"/>
            </w:tcBorders>
            <w:shd w:val="clear" w:color="auto" w:fill="auto"/>
          </w:tcPr>
          <w:p>
            <w:pPr>
              <w:rPr>
                <w:sz w:val="18"/>
                <w:szCs w:val="18"/>
                <w:lang w:val="zh-CN"/>
              </w:rPr>
            </w:pPr>
            <w:r>
              <w:rPr>
                <w:rFonts w:hint="eastAsia"/>
                <w:sz w:val="18"/>
                <w:szCs w:val="18"/>
                <w:lang w:val="zh-CN"/>
              </w:rPr>
              <w:t>f</w:t>
            </w:r>
            <w:r>
              <w:rPr>
                <w:sz w:val="18"/>
                <w:szCs w:val="18"/>
                <w:lang w:val="zh-CN"/>
              </w:rPr>
              <w:t xml:space="preserve">or each byte </w:t>
            </w:r>
            <w:r>
              <w:rPr>
                <w:sz w:val="18"/>
                <w:szCs w:val="18"/>
                <w:lang w:val="zh-CN"/>
              </w:rPr>
              <w:sym w:font="Symbol" w:char="F0CE"/>
            </w:r>
            <w:r>
              <w:rPr>
                <w:sz w:val="18"/>
                <w:szCs w:val="18"/>
                <w:lang w:val="zh-CN"/>
              </w:rPr>
              <w:t xml:space="preserve"> memory</w:t>
            </w:r>
          </w:p>
          <w:p>
            <w:pPr>
              <w:ind w:firstLine="176" w:firstLineChars="100"/>
              <w:rPr>
                <w:sz w:val="18"/>
                <w:szCs w:val="18"/>
                <w:lang w:val="zh-CN"/>
              </w:rPr>
            </w:pPr>
            <w:r>
              <w:rPr>
                <w:rFonts w:hint="eastAsia"/>
                <w:sz w:val="18"/>
                <w:szCs w:val="18"/>
                <w:lang w:val="zh-CN"/>
              </w:rPr>
              <w:t>i</w:t>
            </w:r>
            <w:r>
              <w:rPr>
                <w:sz w:val="18"/>
                <w:szCs w:val="18"/>
                <w:lang w:val="zh-CN"/>
              </w:rPr>
              <w:t xml:space="preserve">f byte </w:t>
            </w:r>
            <w:r>
              <w:rPr>
                <w:rFonts w:hint="eastAsia"/>
                <w:sz w:val="18"/>
                <w:szCs w:val="18"/>
                <w:lang w:val="zh-CN"/>
              </w:rPr>
              <w:t>是符号值</w:t>
            </w:r>
          </w:p>
          <w:p>
            <w:pPr>
              <w:ind w:firstLine="352" w:firstLineChars="200"/>
              <w:rPr>
                <w:sz w:val="18"/>
                <w:szCs w:val="18"/>
                <w:lang w:val="zh-CN"/>
              </w:rPr>
            </w:pPr>
            <w:r>
              <w:rPr>
                <w:rFonts w:hint="eastAsia"/>
                <w:sz w:val="18"/>
                <w:szCs w:val="18"/>
                <w:lang w:val="zh-CN"/>
              </w:rPr>
              <w:t>i</w:t>
            </w:r>
            <w:r>
              <w:rPr>
                <w:sz w:val="18"/>
                <w:szCs w:val="18"/>
                <w:lang w:val="zh-CN"/>
              </w:rPr>
              <w:t xml:space="preserve">f byte </w:t>
            </w:r>
            <w:r>
              <w:rPr>
                <w:rFonts w:hint="eastAsia"/>
                <w:sz w:val="18"/>
                <w:szCs w:val="18"/>
                <w:lang w:val="zh-CN"/>
              </w:rPr>
              <w:t>的前一个字节不是符号值</w:t>
            </w:r>
          </w:p>
          <w:p>
            <w:pPr>
              <w:ind w:firstLine="352" w:firstLineChars="200"/>
              <w:rPr>
                <w:sz w:val="18"/>
                <w:szCs w:val="18"/>
                <w:lang w:val="zh-CN"/>
              </w:rPr>
            </w:pPr>
            <w:r>
              <w:rPr>
                <w:rFonts w:hint="eastAsia"/>
                <w:sz w:val="18"/>
                <w:szCs w:val="18"/>
                <w:lang w:val="zh-CN"/>
              </w:rPr>
              <w:t>……</w:t>
            </w:r>
          </w:p>
          <w:p>
            <w:pPr>
              <w:ind w:firstLine="352" w:firstLineChars="200"/>
              <w:rPr>
                <w:sz w:val="18"/>
                <w:szCs w:val="18"/>
                <w:lang w:val="zh-CN"/>
              </w:rPr>
            </w:pPr>
            <w:r>
              <w:rPr>
                <w:rFonts w:hint="eastAsia"/>
                <w:sz w:val="18"/>
                <w:szCs w:val="18"/>
                <w:lang w:val="zh-CN"/>
              </w:rPr>
              <w:t>end</w:t>
            </w:r>
            <w:r>
              <w:rPr>
                <w:sz w:val="18"/>
                <w:szCs w:val="18"/>
                <w:lang w:val="zh-CN"/>
              </w:rPr>
              <w:t xml:space="preserve"> if </w:t>
            </w:r>
          </w:p>
          <w:p>
            <w:pPr>
              <w:ind w:firstLine="176" w:firstLineChars="100"/>
              <w:rPr>
                <w:sz w:val="18"/>
                <w:szCs w:val="18"/>
                <w:lang w:val="zh-CN"/>
              </w:rPr>
            </w:pPr>
            <w:r>
              <w:rPr>
                <w:rFonts w:hint="eastAsia"/>
                <w:sz w:val="18"/>
                <w:szCs w:val="18"/>
                <w:lang w:val="zh-CN"/>
              </w:rPr>
              <w:t>e</w:t>
            </w:r>
            <w:r>
              <w:rPr>
                <w:sz w:val="18"/>
                <w:szCs w:val="18"/>
                <w:lang w:val="zh-CN"/>
              </w:rPr>
              <w:t xml:space="preserve">lse </w:t>
            </w:r>
          </w:p>
          <w:p>
            <w:pPr>
              <w:ind w:firstLine="176" w:firstLineChars="100"/>
              <w:rPr>
                <w:sz w:val="18"/>
                <w:szCs w:val="18"/>
                <w:lang w:val="zh-CN"/>
              </w:rPr>
            </w:pPr>
            <w:r>
              <w:rPr>
                <w:rFonts w:hint="eastAsia"/>
                <w:sz w:val="18"/>
                <w:szCs w:val="18"/>
                <w:lang w:val="zh-CN"/>
              </w:rPr>
              <w:t>……</w:t>
            </w:r>
          </w:p>
          <w:p>
            <w:pPr>
              <w:ind w:firstLine="176" w:firstLineChars="100"/>
              <w:rPr>
                <w:sz w:val="18"/>
                <w:szCs w:val="18"/>
                <w:lang w:val="zh-CN"/>
              </w:rPr>
            </w:pPr>
            <w:r>
              <w:rPr>
                <w:rFonts w:hint="eastAsia"/>
                <w:sz w:val="18"/>
                <w:szCs w:val="18"/>
                <w:lang w:val="zh-CN"/>
              </w:rPr>
              <w:t>e</w:t>
            </w:r>
            <w:r>
              <w:rPr>
                <w:sz w:val="18"/>
                <w:szCs w:val="18"/>
                <w:lang w:val="zh-CN"/>
              </w:rPr>
              <w:t xml:space="preserve">nd else </w:t>
            </w:r>
          </w:p>
          <w:p>
            <w:pPr>
              <w:ind w:firstLine="176" w:firstLineChars="100"/>
              <w:rPr>
                <w:sz w:val="18"/>
                <w:szCs w:val="18"/>
                <w:lang w:val="zh-CN"/>
              </w:rPr>
            </w:pPr>
            <w:r>
              <w:rPr>
                <w:rFonts w:hint="eastAsia"/>
                <w:sz w:val="18"/>
                <w:szCs w:val="18"/>
                <w:lang w:val="zh-CN"/>
              </w:rPr>
              <w:t>e</w:t>
            </w:r>
            <w:r>
              <w:rPr>
                <w:sz w:val="18"/>
                <w:szCs w:val="18"/>
                <w:lang w:val="zh-CN"/>
              </w:rPr>
              <w:t xml:space="preserve">nd if </w:t>
            </w:r>
          </w:p>
          <w:p>
            <w:pPr>
              <w:ind w:firstLine="176" w:firstLineChars="100"/>
              <w:rPr>
                <w:sz w:val="18"/>
                <w:szCs w:val="18"/>
                <w:lang w:val="zh-CN"/>
              </w:rPr>
            </w:pPr>
            <w:r>
              <w:rPr>
                <w:rFonts w:hint="eastAsia"/>
                <w:sz w:val="18"/>
                <w:szCs w:val="18"/>
                <w:lang w:val="zh-CN"/>
              </w:rPr>
              <w:t>……</w:t>
            </w:r>
          </w:p>
          <w:p>
            <w:pPr>
              <w:rPr>
                <w:sz w:val="18"/>
                <w:szCs w:val="18"/>
                <w:lang w:val="zh-CN"/>
              </w:rPr>
            </w:pPr>
            <w:r>
              <w:rPr>
                <w:rFonts w:hint="eastAsia"/>
                <w:sz w:val="18"/>
                <w:szCs w:val="18"/>
                <w:lang w:val="zh-CN"/>
              </w:rPr>
              <w:t>e</w:t>
            </w:r>
            <w:r>
              <w:rPr>
                <w:sz w:val="18"/>
                <w:szCs w:val="18"/>
                <w:lang w:val="zh-CN"/>
              </w:rPr>
              <w:t>nd for each</w:t>
            </w:r>
          </w:p>
        </w:tc>
      </w:tr>
    </w:tbl>
    <w:p>
      <w:pPr>
        <w:spacing w:before="152" w:beforeLines="50" w:after="152" w:afterLines="50"/>
        <w:outlineLvl w:val="0"/>
        <w:rPr>
          <w:rFonts w:ascii="黑体" w:eastAsia="黑体"/>
          <w:sz w:val="24"/>
        </w:rPr>
      </w:pPr>
      <w:r>
        <w:rPr>
          <w:rFonts w:hint="eastAsia" w:ascii="黑体" w:eastAsia="黑体"/>
          <w:sz w:val="24"/>
        </w:rPr>
        <w:t xml:space="preserve">4 </w:t>
      </w:r>
      <w:r>
        <w:rPr>
          <w:rFonts w:ascii="黑体" w:eastAsia="黑体"/>
          <w:sz w:val="24"/>
        </w:rPr>
        <w:t xml:space="preserve"> </w:t>
      </w:r>
      <w:r>
        <w:rPr>
          <w:rFonts w:hint="eastAsia" w:ascii="黑体" w:eastAsia="黑体"/>
          <w:sz w:val="24"/>
        </w:rPr>
        <w:t>结论</w:t>
      </w:r>
    </w:p>
    <w:p>
      <w:pPr>
        <w:ind w:firstLine="412" w:firstLineChars="200"/>
      </w:pPr>
      <w:r>
        <w:rPr>
          <w:rFonts w:hint="eastAsia"/>
        </w:rPr>
        <w:t>本文研究了在频谱空闲概率的先验信息不可知且动态变化的情况下，认知无线电中次级用户在多频段间的频谱感知次序选择问题。这个问题被归纳成一个动态的在线学习模型，即多摇臂赌博机问题。在汤普森抽样算法的基础上，提出了一种满意折现汤普森抽样算法处理该问题。仿真结果显示，该算法得到的空闲信道数和后验最优决策得到的相近。与经典的信息上界算法和折现</w:t>
      </w:r>
      <w:r>
        <w:rPr>
          <w:i/>
          <w:iCs/>
        </w:rPr>
        <w:t>ε-</w:t>
      </w:r>
      <w:r>
        <w:rPr>
          <w:rFonts w:hint="eastAsia"/>
        </w:rPr>
        <w:t>贪心算法相比，本文所提算法获得的空闲信道更多。此外，所提算法还能够跟踪频谱空闲概率的动态变化。</w:t>
      </w:r>
    </w:p>
    <w:p>
      <w:pPr>
        <w:pStyle w:val="3"/>
        <w:spacing w:before="152" w:beforeLines="50" w:after="152" w:afterLines="50"/>
        <w:jc w:val="left"/>
        <w:outlineLvl w:val="0"/>
        <w:rPr>
          <w:rFonts w:ascii="黑体"/>
          <w:sz w:val="24"/>
        </w:rPr>
      </w:pPr>
      <w:r>
        <w:rPr>
          <w:rFonts w:hint="eastAsia" w:ascii="黑体"/>
          <w:sz w:val="24"/>
        </w:rPr>
        <w:t>致谢</w:t>
      </w:r>
      <w:r>
        <w:rPr>
          <w:rFonts w:hint="eastAsia" w:ascii="Calibri" w:hAnsi="Calibri"/>
          <w:color w:val="FF0000"/>
          <w:sz w:val="24"/>
        </w:rPr>
        <w:t>（一级标题，小四，黑体）</w:t>
      </w:r>
    </w:p>
    <w:p>
      <w:pPr>
        <w:ind w:firstLine="352" w:firstLineChars="200"/>
        <w:rPr>
          <w:color w:val="FF0000"/>
          <w:sz w:val="18"/>
          <w:szCs w:val="18"/>
        </w:rPr>
      </w:pPr>
      <w:r>
        <w:rPr>
          <w:rFonts w:hint="eastAsia"/>
          <w:color w:val="FF0000"/>
          <w:sz w:val="18"/>
          <w:szCs w:val="18"/>
        </w:rPr>
        <w:t>要求：针对提供支持和帮助的具体方面（如协助完成研究、提供实验条件、提出改进建议、提供参考资料等），用简明的语句致谢，并准确说明致谢对象的单位和身份。</w:t>
      </w:r>
    </w:p>
    <w:p>
      <w:pPr>
        <w:rPr>
          <w:color w:val="FF0000"/>
          <w:sz w:val="18"/>
          <w:szCs w:val="18"/>
        </w:rPr>
      </w:pPr>
    </w:p>
    <w:p>
      <w:pPr>
        <w:rPr>
          <w:color w:val="FF0000"/>
        </w:rPr>
      </w:pPr>
      <w:r>
        <w:rPr>
          <w:rFonts w:hint="eastAsia"/>
          <w:color w:val="FF0000"/>
        </w:rPr>
        <w:t>示例1：</w:t>
      </w:r>
    </w:p>
    <w:p>
      <w:pPr>
        <w:ind w:firstLine="412" w:firstLineChars="200"/>
      </w:pPr>
      <w:r>
        <w:rPr>
          <w:rFonts w:hint="eastAsia"/>
        </w:rPr>
        <w:t>X</w:t>
      </w:r>
      <w:r>
        <w:t>X</w:t>
      </w:r>
      <w:r>
        <w:rPr>
          <w:rFonts w:hint="eastAsia"/>
        </w:rPr>
        <w:t>单位</w:t>
      </w:r>
      <w:r>
        <w:t>XX</w:t>
      </w:r>
      <w:r>
        <w:rPr>
          <w:rFonts w:hint="eastAsia"/>
        </w:rPr>
        <w:t>教授（研究员、工程师、博士等）在X</w:t>
      </w:r>
      <w:r>
        <w:t>X</w:t>
      </w:r>
      <w:r>
        <w:rPr>
          <w:rFonts w:hint="eastAsia"/>
        </w:rPr>
        <w:t>方面（方案优化、数据处理等）提供了帮助和指导，谨致谢意！</w:t>
      </w:r>
    </w:p>
    <w:p/>
    <w:p>
      <w:pPr>
        <w:rPr>
          <w:color w:val="FF0000"/>
        </w:rPr>
      </w:pPr>
      <w:r>
        <w:rPr>
          <w:rFonts w:hint="eastAsia"/>
          <w:color w:val="FF0000"/>
        </w:rPr>
        <w:t>示例2：</w:t>
      </w:r>
    </w:p>
    <w:p>
      <w:pPr>
        <w:ind w:firstLine="412" w:firstLineChars="200"/>
      </w:pPr>
      <w:r>
        <w:t>XX工作是在XX单位XX教授（研究员、工程师、博士等）的帮助下完成的，特此致谢！</w:t>
      </w:r>
    </w:p>
    <w:p/>
    <w:p>
      <w:pPr>
        <w:pStyle w:val="3"/>
        <w:spacing w:before="152" w:beforeLines="50" w:after="152" w:afterLines="50"/>
        <w:jc w:val="left"/>
        <w:outlineLvl w:val="0"/>
        <w:rPr>
          <w:rFonts w:hint="eastAsia" w:ascii="Calibri" w:hAnsi="Calibri"/>
          <w:color w:val="FF0000"/>
          <w:sz w:val="24"/>
        </w:rPr>
      </w:pPr>
      <w:r>
        <w:rPr>
          <w:rFonts w:hint="eastAsia" w:ascii="黑体"/>
          <w:sz w:val="24"/>
        </w:rPr>
        <w:t>参考文献</w:t>
      </w:r>
      <w:r>
        <w:rPr>
          <w:rFonts w:hint="eastAsia" w:ascii="Calibri" w:hAnsi="Calibri"/>
          <w:color w:val="FF0000"/>
          <w:sz w:val="24"/>
        </w:rPr>
        <w:t>（一级标题，小四，黑体）</w:t>
      </w:r>
    </w:p>
    <w:p>
      <w:pPr>
        <w:pStyle w:val="3"/>
        <w:spacing w:before="152" w:beforeLines="50" w:after="152" w:afterLines="50"/>
        <w:jc w:val="left"/>
        <w:outlineLvl w:val="0"/>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color w:val="FF0000"/>
          <w:sz w:val="21"/>
          <w:szCs w:val="21"/>
          <w:lang w:eastAsia="zh-CN"/>
        </w:rPr>
        <w:t>（</w:t>
      </w:r>
      <w:r>
        <w:rPr>
          <w:rFonts w:hint="default" w:ascii="Times New Roman" w:hAnsi="Times New Roman" w:eastAsia="宋体" w:cs="Times New Roman"/>
          <w:b w:val="0"/>
          <w:bCs w:val="0"/>
          <w:color w:val="FF0000"/>
          <w:sz w:val="21"/>
          <w:szCs w:val="21"/>
          <w:lang w:val="en-US" w:eastAsia="zh-CN"/>
        </w:rPr>
        <w:t>近三年参考文献比例不低于30%</w:t>
      </w:r>
      <w:r>
        <w:rPr>
          <w:rFonts w:hint="default" w:ascii="Times New Roman" w:hAnsi="Times New Roman" w:eastAsia="宋体" w:cs="Times New Roman"/>
          <w:b w:val="0"/>
          <w:bCs w:val="0"/>
          <w:color w:val="FF0000"/>
          <w:sz w:val="21"/>
          <w:szCs w:val="21"/>
          <w:lang w:eastAsia="zh-CN"/>
        </w:rPr>
        <w:t>）</w:t>
      </w:r>
    </w:p>
    <w:p>
      <w:pPr>
        <w:numPr>
          <w:ilvl w:val="1"/>
          <w:numId w:val="1"/>
        </w:numPr>
        <w:tabs>
          <w:tab w:val="clear" w:pos="840"/>
        </w:tabs>
        <w:snapToGrid w:val="0"/>
        <w:spacing w:line="300" w:lineRule="auto"/>
        <w:ind w:left="360"/>
        <w:rPr>
          <w:kern w:val="0"/>
          <w:sz w:val="18"/>
          <w:szCs w:val="18"/>
        </w:rPr>
      </w:pPr>
      <w:r>
        <w:rPr>
          <w:rFonts w:hint="eastAsia"/>
          <w:kern w:val="0"/>
          <w:sz w:val="18"/>
          <w:szCs w:val="18"/>
        </w:rPr>
        <w:t>许辉</w:t>
      </w:r>
      <w:r>
        <w:rPr>
          <w:kern w:val="0"/>
          <w:sz w:val="18"/>
          <w:szCs w:val="18"/>
        </w:rPr>
        <w:t xml:space="preserve">, </w:t>
      </w:r>
      <w:r>
        <w:rPr>
          <w:rFonts w:hint="eastAsia"/>
          <w:kern w:val="0"/>
          <w:sz w:val="18"/>
          <w:szCs w:val="18"/>
        </w:rPr>
        <w:t>吴诗其</w:t>
      </w:r>
      <w:r>
        <w:rPr>
          <w:kern w:val="0"/>
          <w:sz w:val="18"/>
          <w:szCs w:val="18"/>
        </w:rPr>
        <w:t xml:space="preserve">. LEO </w:t>
      </w:r>
      <w:r>
        <w:rPr>
          <w:rFonts w:hint="eastAsia"/>
          <w:kern w:val="0"/>
          <w:sz w:val="18"/>
          <w:szCs w:val="18"/>
        </w:rPr>
        <w:t>卫星网络中基于蚂蚁算法的分布式</w:t>
      </w:r>
      <w:r>
        <w:rPr>
          <w:kern w:val="0"/>
          <w:sz w:val="18"/>
          <w:szCs w:val="18"/>
        </w:rPr>
        <w:t>QoS</w:t>
      </w:r>
      <w:r>
        <w:rPr>
          <w:rFonts w:hint="eastAsia"/>
          <w:kern w:val="0"/>
          <w:sz w:val="18"/>
          <w:szCs w:val="18"/>
        </w:rPr>
        <w:t>路由</w:t>
      </w:r>
      <w:r>
        <w:rPr>
          <w:kern w:val="0"/>
          <w:sz w:val="18"/>
          <w:szCs w:val="18"/>
        </w:rPr>
        <w:t xml:space="preserve">[J]. </w:t>
      </w:r>
      <w:r>
        <w:rPr>
          <w:rFonts w:hint="eastAsia"/>
          <w:kern w:val="0"/>
          <w:sz w:val="18"/>
          <w:szCs w:val="18"/>
        </w:rPr>
        <w:t>计算机学报</w:t>
      </w:r>
      <w:r>
        <w:rPr>
          <w:kern w:val="0"/>
          <w:sz w:val="18"/>
          <w:szCs w:val="18"/>
        </w:rPr>
        <w:t>, 2007, 30(3): 361-367.</w:t>
      </w:r>
    </w:p>
    <w:p>
      <w:pPr>
        <w:snapToGrid w:val="0"/>
        <w:spacing w:line="300" w:lineRule="auto"/>
        <w:ind w:left="360"/>
        <w:rPr>
          <w:color w:val="FF0000"/>
          <w:kern w:val="0"/>
          <w:sz w:val="18"/>
          <w:szCs w:val="18"/>
        </w:rPr>
      </w:pPr>
      <w:r>
        <w:rPr>
          <w:kern w:val="0"/>
          <w:sz w:val="18"/>
          <w:szCs w:val="18"/>
        </w:rPr>
        <w:t>X</w:t>
      </w:r>
      <w:r>
        <w:rPr>
          <w:rFonts w:hint="eastAsia"/>
          <w:kern w:val="0"/>
          <w:sz w:val="18"/>
          <w:szCs w:val="18"/>
        </w:rPr>
        <w:t>U</w:t>
      </w:r>
      <w:r>
        <w:rPr>
          <w:kern w:val="0"/>
          <w:sz w:val="18"/>
          <w:szCs w:val="18"/>
        </w:rPr>
        <w:t xml:space="preserve"> H, W</w:t>
      </w:r>
      <w:r>
        <w:rPr>
          <w:rFonts w:hint="eastAsia"/>
          <w:kern w:val="0"/>
          <w:sz w:val="18"/>
          <w:szCs w:val="18"/>
        </w:rPr>
        <w:t>U</w:t>
      </w:r>
      <w:r>
        <w:rPr>
          <w:kern w:val="0"/>
          <w:sz w:val="18"/>
          <w:szCs w:val="18"/>
        </w:rPr>
        <w:t xml:space="preserve"> S</w:t>
      </w:r>
      <w:r>
        <w:rPr>
          <w:rFonts w:hint="eastAsia"/>
          <w:kern w:val="0"/>
          <w:sz w:val="18"/>
          <w:szCs w:val="18"/>
          <w:lang w:val="en-US" w:eastAsia="zh-CN"/>
        </w:rPr>
        <w:t xml:space="preserve"> Q</w:t>
      </w:r>
      <w:r>
        <w:rPr>
          <w:kern w:val="0"/>
          <w:sz w:val="18"/>
          <w:szCs w:val="18"/>
        </w:rPr>
        <w:t xml:space="preserve">. A </w:t>
      </w:r>
      <w:r>
        <w:rPr>
          <w:rFonts w:hint="eastAsia"/>
          <w:kern w:val="0"/>
          <w:sz w:val="18"/>
          <w:szCs w:val="18"/>
        </w:rPr>
        <w:t>d</w:t>
      </w:r>
      <w:r>
        <w:rPr>
          <w:kern w:val="0"/>
          <w:sz w:val="18"/>
          <w:szCs w:val="18"/>
        </w:rPr>
        <w:t>istributed QoS</w:t>
      </w:r>
      <w:r>
        <w:rPr>
          <w:rFonts w:hint="eastAsia"/>
          <w:kern w:val="0"/>
          <w:sz w:val="18"/>
          <w:szCs w:val="18"/>
        </w:rPr>
        <w:t xml:space="preserve"> r</w:t>
      </w:r>
      <w:r>
        <w:rPr>
          <w:kern w:val="0"/>
          <w:sz w:val="18"/>
          <w:szCs w:val="18"/>
        </w:rPr>
        <w:t xml:space="preserve">outing </w:t>
      </w:r>
      <w:r>
        <w:rPr>
          <w:rFonts w:hint="eastAsia"/>
          <w:kern w:val="0"/>
          <w:sz w:val="18"/>
          <w:szCs w:val="18"/>
        </w:rPr>
        <w:t>b</w:t>
      </w:r>
      <w:r>
        <w:rPr>
          <w:kern w:val="0"/>
          <w:sz w:val="18"/>
          <w:szCs w:val="18"/>
        </w:rPr>
        <w:t xml:space="preserve">ased on </w:t>
      </w:r>
      <w:r>
        <w:rPr>
          <w:rFonts w:hint="eastAsia"/>
          <w:kern w:val="0"/>
          <w:sz w:val="18"/>
          <w:szCs w:val="18"/>
        </w:rPr>
        <w:t>a</w:t>
      </w:r>
      <w:r>
        <w:rPr>
          <w:kern w:val="0"/>
          <w:sz w:val="18"/>
          <w:szCs w:val="18"/>
        </w:rPr>
        <w:t>nt</w:t>
      </w:r>
      <w:r>
        <w:rPr>
          <w:rFonts w:hint="eastAsia"/>
          <w:kern w:val="0"/>
          <w:sz w:val="18"/>
          <w:szCs w:val="18"/>
        </w:rPr>
        <w:t xml:space="preserve"> </w:t>
      </w:r>
      <w:r>
        <w:rPr>
          <w:kern w:val="0"/>
          <w:sz w:val="18"/>
          <w:szCs w:val="18"/>
        </w:rPr>
        <w:t xml:space="preserve">algorithm for LEO </w:t>
      </w:r>
      <w:r>
        <w:rPr>
          <w:rFonts w:hint="eastAsia"/>
          <w:kern w:val="0"/>
          <w:sz w:val="18"/>
          <w:szCs w:val="18"/>
        </w:rPr>
        <w:t>s</w:t>
      </w:r>
      <w:r>
        <w:rPr>
          <w:kern w:val="0"/>
          <w:sz w:val="18"/>
          <w:szCs w:val="18"/>
        </w:rPr>
        <w:t xml:space="preserve">atellite </w:t>
      </w:r>
      <w:r>
        <w:rPr>
          <w:rFonts w:hint="eastAsia"/>
          <w:kern w:val="0"/>
          <w:sz w:val="18"/>
          <w:szCs w:val="18"/>
        </w:rPr>
        <w:t>n</w:t>
      </w:r>
      <w:r>
        <w:rPr>
          <w:kern w:val="0"/>
          <w:sz w:val="18"/>
          <w:szCs w:val="18"/>
        </w:rPr>
        <w:t>etwork [J]. Chinese Journal of</w:t>
      </w:r>
      <w:r>
        <w:rPr>
          <w:rFonts w:hint="eastAsia"/>
          <w:kern w:val="0"/>
          <w:sz w:val="18"/>
          <w:szCs w:val="18"/>
        </w:rPr>
        <w:t xml:space="preserve"> </w:t>
      </w:r>
      <w:r>
        <w:rPr>
          <w:kern w:val="0"/>
          <w:sz w:val="18"/>
          <w:szCs w:val="18"/>
        </w:rPr>
        <w:t>Computers, 2007, 30(3): 361 - 367.</w:t>
      </w:r>
      <w:r>
        <w:rPr>
          <w:rFonts w:hint="eastAsia"/>
          <w:kern w:val="0"/>
          <w:sz w:val="18"/>
          <w:szCs w:val="18"/>
        </w:rPr>
        <w:t>（in</w:t>
      </w:r>
      <w:r>
        <w:rPr>
          <w:kern w:val="0"/>
          <w:sz w:val="18"/>
          <w:szCs w:val="18"/>
        </w:rPr>
        <w:t xml:space="preserve"> </w:t>
      </w:r>
      <w:r>
        <w:rPr>
          <w:rFonts w:hint="eastAsia"/>
          <w:kern w:val="0"/>
          <w:sz w:val="18"/>
          <w:szCs w:val="18"/>
        </w:rPr>
        <w:t>Chinese）</w:t>
      </w:r>
      <w:r>
        <w:rPr>
          <w:rFonts w:hint="eastAsia"/>
          <w:color w:val="FF0000"/>
          <w:kern w:val="0"/>
          <w:sz w:val="18"/>
          <w:szCs w:val="18"/>
        </w:rPr>
        <w:t>（中文期刊</w:t>
      </w:r>
      <w:r>
        <w:rPr>
          <w:rFonts w:hint="eastAsia"/>
          <w:color w:val="FF0000"/>
          <w:kern w:val="0"/>
          <w:sz w:val="18"/>
          <w:szCs w:val="18"/>
          <w:lang w:eastAsia="zh-CN"/>
        </w:rPr>
        <w:t>，</w:t>
      </w:r>
      <w:r>
        <w:rPr>
          <w:rFonts w:hint="eastAsia"/>
          <w:color w:val="FF0000"/>
          <w:kern w:val="0"/>
          <w:sz w:val="18"/>
          <w:szCs w:val="18"/>
          <w:lang w:val="en-US" w:eastAsia="zh-CN"/>
        </w:rPr>
        <w:t>姓氏全部大写，名只保留首字母大写</w:t>
      </w:r>
      <w:r>
        <w:rPr>
          <w:rFonts w:hint="eastAsia"/>
          <w:color w:val="FF0000"/>
          <w:kern w:val="0"/>
          <w:sz w:val="18"/>
          <w:szCs w:val="18"/>
        </w:rPr>
        <w:t>）</w:t>
      </w:r>
    </w:p>
    <w:p>
      <w:pPr>
        <w:numPr>
          <w:ilvl w:val="1"/>
          <w:numId w:val="1"/>
        </w:numPr>
        <w:tabs>
          <w:tab w:val="clear" w:pos="840"/>
        </w:tabs>
        <w:snapToGrid w:val="0"/>
        <w:spacing w:line="300" w:lineRule="auto"/>
        <w:ind w:left="360"/>
        <w:rPr>
          <w:kern w:val="0"/>
          <w:sz w:val="18"/>
          <w:szCs w:val="18"/>
        </w:rPr>
      </w:pPr>
      <w:r>
        <w:rPr>
          <w:kern w:val="0"/>
          <w:sz w:val="18"/>
          <w:szCs w:val="18"/>
          <w:lang w:val="de-DE"/>
        </w:rPr>
        <w:t>CHANDRAKASAN</w:t>
      </w:r>
      <w:r>
        <w:rPr>
          <w:rFonts w:hint="eastAsia"/>
          <w:kern w:val="0"/>
          <w:sz w:val="18"/>
          <w:szCs w:val="18"/>
          <w:lang w:val="de-DE"/>
        </w:rPr>
        <w:t xml:space="preserve"> </w:t>
      </w:r>
      <w:r>
        <w:rPr>
          <w:kern w:val="0"/>
          <w:sz w:val="18"/>
          <w:szCs w:val="18"/>
          <w:lang w:val="de-DE"/>
        </w:rPr>
        <w:t>A, SHENG</w:t>
      </w:r>
      <w:r>
        <w:rPr>
          <w:rFonts w:hint="eastAsia"/>
          <w:kern w:val="0"/>
          <w:sz w:val="18"/>
          <w:szCs w:val="18"/>
          <w:lang w:val="de-DE"/>
        </w:rPr>
        <w:t xml:space="preserve"> </w:t>
      </w:r>
      <w:r>
        <w:rPr>
          <w:kern w:val="0"/>
          <w:sz w:val="18"/>
          <w:szCs w:val="18"/>
          <w:lang w:val="de-DE"/>
        </w:rPr>
        <w:t>S, BRODERSEN</w:t>
      </w:r>
      <w:r>
        <w:rPr>
          <w:rFonts w:hint="eastAsia"/>
          <w:kern w:val="0"/>
          <w:sz w:val="18"/>
          <w:szCs w:val="18"/>
          <w:lang w:val="de-DE"/>
        </w:rPr>
        <w:t xml:space="preserve"> </w:t>
      </w:r>
      <w:r>
        <w:rPr>
          <w:kern w:val="0"/>
          <w:sz w:val="18"/>
          <w:szCs w:val="18"/>
          <w:lang w:val="de-DE"/>
        </w:rPr>
        <w:t xml:space="preserve">R. </w:t>
      </w:r>
      <w:r>
        <w:rPr>
          <w:kern w:val="0"/>
          <w:sz w:val="18"/>
          <w:szCs w:val="18"/>
        </w:rPr>
        <w:t xml:space="preserve">Low-power CMOS </w:t>
      </w:r>
      <w:r>
        <w:rPr>
          <w:rFonts w:hint="eastAsia"/>
          <w:kern w:val="0"/>
          <w:sz w:val="18"/>
          <w:szCs w:val="18"/>
        </w:rPr>
        <w:t>d</w:t>
      </w:r>
      <w:r>
        <w:rPr>
          <w:kern w:val="0"/>
          <w:sz w:val="18"/>
          <w:szCs w:val="18"/>
        </w:rPr>
        <w:t xml:space="preserve">igital </w:t>
      </w:r>
      <w:r>
        <w:rPr>
          <w:rFonts w:hint="eastAsia"/>
          <w:kern w:val="0"/>
          <w:sz w:val="18"/>
          <w:szCs w:val="18"/>
        </w:rPr>
        <w:t>d</w:t>
      </w:r>
      <w:r>
        <w:rPr>
          <w:kern w:val="0"/>
          <w:sz w:val="18"/>
          <w:szCs w:val="18"/>
        </w:rPr>
        <w:t>esign</w:t>
      </w:r>
      <w:r>
        <w:rPr>
          <w:rFonts w:hint="eastAsia"/>
          <w:kern w:val="0"/>
          <w:sz w:val="18"/>
          <w:szCs w:val="18"/>
        </w:rPr>
        <w:t xml:space="preserve"> </w:t>
      </w:r>
      <w:r>
        <w:rPr>
          <w:kern w:val="0"/>
          <w:sz w:val="18"/>
          <w:szCs w:val="18"/>
        </w:rPr>
        <w:t>[J]. IEEE Journal of Solid-State Circuit, 1992, 27(4): 473 - 484.</w:t>
      </w:r>
      <w:r>
        <w:rPr>
          <w:rFonts w:hint="eastAsia"/>
          <w:color w:val="FF0000"/>
          <w:kern w:val="0"/>
          <w:sz w:val="18"/>
          <w:szCs w:val="18"/>
        </w:rPr>
        <w:t>（英文期刊，姓氏全部大写）</w:t>
      </w:r>
    </w:p>
    <w:p>
      <w:pPr>
        <w:numPr>
          <w:ilvl w:val="1"/>
          <w:numId w:val="1"/>
        </w:numPr>
        <w:tabs>
          <w:tab w:val="clear" w:pos="840"/>
        </w:tabs>
        <w:snapToGrid w:val="0"/>
        <w:spacing w:line="300" w:lineRule="auto"/>
        <w:ind w:left="360"/>
        <w:rPr>
          <w:kern w:val="0"/>
          <w:sz w:val="18"/>
          <w:szCs w:val="18"/>
        </w:rPr>
      </w:pPr>
      <w:r>
        <w:rPr>
          <w:kern w:val="0"/>
          <w:sz w:val="18"/>
          <w:szCs w:val="18"/>
        </w:rPr>
        <w:t>D</w:t>
      </w:r>
      <w:r>
        <w:rPr>
          <w:kern w:val="0"/>
          <w:sz w:val="18"/>
          <w:szCs w:val="18"/>
          <w:lang w:val="de-DE"/>
        </w:rPr>
        <w:t>HOTE</w:t>
      </w:r>
      <w:r>
        <w:rPr>
          <w:kern w:val="0"/>
          <w:sz w:val="18"/>
          <w:szCs w:val="18"/>
        </w:rPr>
        <w:t xml:space="preserve"> Y, AGRAWAL S, DEEN A J. A survey on feature selection techniques for Internet traffic classification [C]// Proceedings of International Conference on Computational Intelligence and Communication Networks (CICN). IEEE, 2015: 1375 - 1380.</w:t>
      </w:r>
      <w:r>
        <w:rPr>
          <w:rFonts w:hint="eastAsia"/>
          <w:color w:val="FF0000"/>
          <w:kern w:val="0"/>
          <w:sz w:val="18"/>
          <w:szCs w:val="18"/>
        </w:rPr>
        <w:t>（会议录、论文集）</w:t>
      </w:r>
    </w:p>
    <w:p>
      <w:pPr>
        <w:numPr>
          <w:ilvl w:val="1"/>
          <w:numId w:val="1"/>
        </w:numPr>
        <w:tabs>
          <w:tab w:val="clear" w:pos="840"/>
        </w:tabs>
        <w:snapToGrid w:val="0"/>
        <w:spacing w:line="300" w:lineRule="auto"/>
        <w:ind w:left="426"/>
        <w:rPr>
          <w:kern w:val="0"/>
          <w:sz w:val="18"/>
          <w:szCs w:val="18"/>
        </w:rPr>
      </w:pPr>
      <w:r>
        <w:rPr>
          <w:rFonts w:hint="eastAsia"/>
          <w:kern w:val="0"/>
          <w:sz w:val="18"/>
          <w:szCs w:val="18"/>
        </w:rPr>
        <w:t>蔡国彪,</w:t>
      </w:r>
      <w:r>
        <w:rPr>
          <w:kern w:val="0"/>
          <w:sz w:val="18"/>
          <w:szCs w:val="18"/>
        </w:rPr>
        <w:t xml:space="preserve"> </w:t>
      </w:r>
      <w:r>
        <w:rPr>
          <w:rFonts w:hint="eastAsia"/>
          <w:kern w:val="0"/>
          <w:sz w:val="18"/>
          <w:szCs w:val="18"/>
        </w:rPr>
        <w:t>李家文,</w:t>
      </w:r>
      <w:r>
        <w:rPr>
          <w:kern w:val="0"/>
          <w:sz w:val="18"/>
          <w:szCs w:val="18"/>
        </w:rPr>
        <w:t xml:space="preserve"> </w:t>
      </w:r>
      <w:r>
        <w:rPr>
          <w:rFonts w:hint="eastAsia"/>
          <w:kern w:val="0"/>
          <w:sz w:val="18"/>
          <w:szCs w:val="18"/>
        </w:rPr>
        <w:t>田爱梅.</w:t>
      </w:r>
      <w:r>
        <w:rPr>
          <w:kern w:val="0"/>
          <w:sz w:val="18"/>
          <w:szCs w:val="18"/>
        </w:rPr>
        <w:t xml:space="preserve"> </w:t>
      </w:r>
      <w:r>
        <w:rPr>
          <w:rFonts w:hint="eastAsia"/>
          <w:kern w:val="0"/>
          <w:sz w:val="18"/>
          <w:szCs w:val="18"/>
        </w:rPr>
        <w:t>液体火箭发动机设计 [M].</w:t>
      </w:r>
      <w:r>
        <w:rPr>
          <w:kern w:val="0"/>
          <w:sz w:val="18"/>
          <w:szCs w:val="18"/>
        </w:rPr>
        <w:t xml:space="preserve"> </w:t>
      </w:r>
      <w:r>
        <w:rPr>
          <w:rFonts w:hint="eastAsia"/>
          <w:kern w:val="0"/>
          <w:sz w:val="18"/>
          <w:szCs w:val="18"/>
        </w:rPr>
        <w:t>北京:</w:t>
      </w:r>
      <w:r>
        <w:rPr>
          <w:kern w:val="0"/>
          <w:sz w:val="18"/>
          <w:szCs w:val="18"/>
        </w:rPr>
        <w:t xml:space="preserve"> </w:t>
      </w:r>
      <w:r>
        <w:rPr>
          <w:rFonts w:hint="eastAsia"/>
          <w:kern w:val="0"/>
          <w:sz w:val="18"/>
          <w:szCs w:val="18"/>
        </w:rPr>
        <w:t>北京航空航天大学出版社,</w:t>
      </w:r>
      <w:r>
        <w:rPr>
          <w:kern w:val="0"/>
          <w:sz w:val="18"/>
          <w:szCs w:val="18"/>
        </w:rPr>
        <w:t xml:space="preserve"> </w:t>
      </w:r>
      <w:r>
        <w:rPr>
          <w:rFonts w:hint="eastAsia"/>
          <w:kern w:val="0"/>
          <w:sz w:val="18"/>
          <w:szCs w:val="18"/>
        </w:rPr>
        <w:t>2011.</w:t>
      </w:r>
      <w:r>
        <w:rPr>
          <w:kern w:val="0"/>
          <w:sz w:val="18"/>
          <w:szCs w:val="18"/>
        </w:rPr>
        <w:t xml:space="preserve"> </w:t>
      </w:r>
    </w:p>
    <w:p>
      <w:pPr>
        <w:snapToGrid w:val="0"/>
        <w:spacing w:line="300" w:lineRule="auto"/>
        <w:ind w:left="426"/>
        <w:rPr>
          <w:kern w:val="0"/>
          <w:sz w:val="18"/>
          <w:szCs w:val="18"/>
        </w:rPr>
      </w:pPr>
      <w:r>
        <w:rPr>
          <w:kern w:val="0"/>
          <w:sz w:val="18"/>
          <w:szCs w:val="18"/>
        </w:rPr>
        <w:t>CAI G</w:t>
      </w:r>
      <w:r>
        <w:rPr>
          <w:rFonts w:hint="eastAsia"/>
          <w:kern w:val="0"/>
          <w:sz w:val="18"/>
          <w:szCs w:val="18"/>
          <w:lang w:val="en-US" w:eastAsia="zh-CN"/>
        </w:rPr>
        <w:t xml:space="preserve"> B</w:t>
      </w:r>
      <w:r>
        <w:rPr>
          <w:kern w:val="0"/>
          <w:sz w:val="18"/>
          <w:szCs w:val="18"/>
        </w:rPr>
        <w:t>, LI J</w:t>
      </w:r>
      <w:r>
        <w:rPr>
          <w:rFonts w:hint="eastAsia"/>
          <w:kern w:val="0"/>
          <w:sz w:val="18"/>
          <w:szCs w:val="18"/>
          <w:lang w:val="en-US" w:eastAsia="zh-CN"/>
        </w:rPr>
        <w:t xml:space="preserve"> W</w:t>
      </w:r>
      <w:r>
        <w:rPr>
          <w:kern w:val="0"/>
          <w:sz w:val="18"/>
          <w:szCs w:val="18"/>
        </w:rPr>
        <w:t>, TIAN A</w:t>
      </w:r>
      <w:r>
        <w:rPr>
          <w:rFonts w:hint="eastAsia"/>
          <w:kern w:val="0"/>
          <w:sz w:val="18"/>
          <w:szCs w:val="18"/>
          <w:lang w:val="en-US" w:eastAsia="zh-CN"/>
        </w:rPr>
        <w:t xml:space="preserve"> M</w:t>
      </w:r>
      <w:r>
        <w:rPr>
          <w:kern w:val="0"/>
          <w:sz w:val="18"/>
          <w:szCs w:val="18"/>
        </w:rPr>
        <w:t>. Liquid rocket engine design [M]. Beijing: Beihang University Press, 2011. (in Chinese)</w:t>
      </w:r>
      <w:r>
        <w:rPr>
          <w:rFonts w:hint="eastAsia"/>
          <w:color w:val="FF0000"/>
          <w:kern w:val="0"/>
          <w:sz w:val="18"/>
          <w:szCs w:val="18"/>
        </w:rPr>
        <w:t>（图书）</w:t>
      </w:r>
    </w:p>
    <w:p>
      <w:pPr>
        <w:numPr>
          <w:ilvl w:val="1"/>
          <w:numId w:val="1"/>
        </w:numPr>
        <w:tabs>
          <w:tab w:val="clear" w:pos="840"/>
        </w:tabs>
        <w:snapToGrid w:val="0"/>
        <w:spacing w:line="300" w:lineRule="auto"/>
        <w:ind w:left="360"/>
        <w:rPr>
          <w:kern w:val="0"/>
          <w:sz w:val="18"/>
          <w:szCs w:val="18"/>
        </w:rPr>
      </w:pPr>
      <w:r>
        <w:rPr>
          <w:rFonts w:hint="eastAsia"/>
          <w:kern w:val="0"/>
          <w:sz w:val="18"/>
          <w:szCs w:val="18"/>
        </w:rPr>
        <w:t>穆帅.</w:t>
      </w:r>
      <w:r>
        <w:rPr>
          <w:kern w:val="0"/>
          <w:sz w:val="18"/>
          <w:szCs w:val="18"/>
        </w:rPr>
        <w:t xml:space="preserve"> </w:t>
      </w:r>
      <w:r>
        <w:rPr>
          <w:rFonts w:hint="eastAsia"/>
          <w:kern w:val="0"/>
          <w:sz w:val="18"/>
          <w:szCs w:val="18"/>
        </w:rPr>
        <w:t>针对不规则应用的图形处理器资源调度关键技术研究 [D].</w:t>
      </w:r>
      <w:r>
        <w:rPr>
          <w:kern w:val="0"/>
          <w:sz w:val="18"/>
          <w:szCs w:val="18"/>
        </w:rPr>
        <w:t xml:space="preserve"> </w:t>
      </w:r>
      <w:r>
        <w:rPr>
          <w:rFonts w:hint="eastAsia"/>
          <w:kern w:val="0"/>
          <w:sz w:val="18"/>
          <w:szCs w:val="18"/>
        </w:rPr>
        <w:t>北京:</w:t>
      </w:r>
      <w:r>
        <w:rPr>
          <w:kern w:val="0"/>
          <w:sz w:val="18"/>
          <w:szCs w:val="18"/>
        </w:rPr>
        <w:t xml:space="preserve"> </w:t>
      </w:r>
      <w:r>
        <w:rPr>
          <w:rFonts w:hint="eastAsia"/>
          <w:kern w:val="0"/>
          <w:sz w:val="18"/>
          <w:szCs w:val="18"/>
        </w:rPr>
        <w:t>清华大学,</w:t>
      </w:r>
      <w:r>
        <w:rPr>
          <w:kern w:val="0"/>
          <w:sz w:val="18"/>
          <w:szCs w:val="18"/>
        </w:rPr>
        <w:t xml:space="preserve"> </w:t>
      </w:r>
      <w:r>
        <w:rPr>
          <w:rFonts w:hint="eastAsia"/>
          <w:kern w:val="0"/>
          <w:sz w:val="18"/>
          <w:szCs w:val="18"/>
        </w:rPr>
        <w:t>2013.</w:t>
      </w:r>
    </w:p>
    <w:p>
      <w:pPr>
        <w:snapToGrid w:val="0"/>
        <w:spacing w:line="300" w:lineRule="auto"/>
        <w:ind w:left="360"/>
        <w:rPr>
          <w:color w:val="FF0000"/>
          <w:kern w:val="0"/>
          <w:sz w:val="18"/>
          <w:szCs w:val="18"/>
        </w:rPr>
      </w:pPr>
      <w:r>
        <w:rPr>
          <w:kern w:val="0"/>
          <w:sz w:val="18"/>
          <w:szCs w:val="18"/>
        </w:rPr>
        <w:t xml:space="preserve">MU S. Research on resources schedule for irregular applications on graphics processing units [D]. Beijing: Tsinghua University, 2013. </w:t>
      </w:r>
      <w:r>
        <w:rPr>
          <w:rFonts w:hint="eastAsia"/>
          <w:kern w:val="0"/>
          <w:sz w:val="18"/>
          <w:szCs w:val="18"/>
        </w:rPr>
        <w:t>（</w:t>
      </w:r>
      <w:r>
        <w:rPr>
          <w:kern w:val="0"/>
          <w:sz w:val="18"/>
          <w:szCs w:val="18"/>
        </w:rPr>
        <w:t>in Chinese</w:t>
      </w:r>
      <w:r>
        <w:rPr>
          <w:rFonts w:hint="eastAsia"/>
          <w:kern w:val="0"/>
          <w:sz w:val="18"/>
          <w:szCs w:val="18"/>
        </w:rPr>
        <w:t>）</w:t>
      </w:r>
      <w:r>
        <w:rPr>
          <w:rFonts w:hint="eastAsia"/>
          <w:color w:val="FF0000"/>
          <w:kern w:val="0"/>
          <w:sz w:val="18"/>
          <w:szCs w:val="18"/>
        </w:rPr>
        <w:t>（学位论文）</w:t>
      </w:r>
    </w:p>
    <w:p>
      <w:pPr>
        <w:numPr>
          <w:ilvl w:val="1"/>
          <w:numId w:val="1"/>
        </w:numPr>
        <w:tabs>
          <w:tab w:val="clear" w:pos="840"/>
        </w:tabs>
        <w:snapToGrid w:val="0"/>
        <w:spacing w:line="300" w:lineRule="auto"/>
        <w:ind w:left="426"/>
        <w:rPr>
          <w:kern w:val="0"/>
          <w:sz w:val="18"/>
          <w:szCs w:val="18"/>
        </w:rPr>
      </w:pPr>
      <w:r>
        <w:rPr>
          <w:kern w:val="0"/>
          <w:sz w:val="18"/>
          <w:szCs w:val="18"/>
        </w:rPr>
        <w:t>ITU. Space network list: query by general publication references [EB/OL]. (2017-10-16) [2018-10-15]. http://www.itu.</w:t>
      </w:r>
      <w:r>
        <w:rPr>
          <w:rFonts w:hint="eastAsia"/>
          <w:kern w:val="0"/>
          <w:sz w:val="18"/>
          <w:szCs w:val="18"/>
        </w:rPr>
        <w:t>int/net/ITU-R/space/snl/bsearchb/</w:t>
      </w:r>
      <w:r>
        <w:rPr>
          <w:kern w:val="0"/>
          <w:sz w:val="18"/>
          <w:szCs w:val="18"/>
        </w:rPr>
        <w:t>spublication.as</w:t>
      </w:r>
      <w:r>
        <w:rPr>
          <w:rFonts w:hint="eastAsia"/>
          <w:kern w:val="0"/>
          <w:sz w:val="18"/>
          <w:szCs w:val="18"/>
        </w:rPr>
        <w:t>p</w:t>
      </w:r>
      <w:r>
        <w:rPr>
          <w:kern w:val="0"/>
          <w:sz w:val="18"/>
          <w:szCs w:val="18"/>
        </w:rPr>
        <w:t xml:space="preserve">. </w:t>
      </w:r>
      <w:r>
        <w:rPr>
          <w:rFonts w:hint="eastAsia"/>
          <w:color w:val="FF0000"/>
          <w:kern w:val="0"/>
          <w:sz w:val="18"/>
          <w:szCs w:val="18"/>
        </w:rPr>
        <w:t>（电子资源）</w:t>
      </w:r>
    </w:p>
    <w:p>
      <w:pPr>
        <w:snapToGrid w:val="0"/>
        <w:spacing w:line="300" w:lineRule="auto"/>
        <w:ind w:left="360"/>
        <w:rPr>
          <w:kern w:val="0"/>
          <w:sz w:val="18"/>
          <w:szCs w:val="18"/>
        </w:rPr>
      </w:pPr>
      <w:r>
        <w:rPr>
          <w:rFonts w:hint="eastAsia"/>
          <w:kern w:val="0"/>
          <w:sz w:val="18"/>
          <w:szCs w:val="18"/>
        </w:rPr>
        <w:t>…………</w:t>
      </w:r>
    </w:p>
    <w:p>
      <w:pPr>
        <w:snapToGrid w:val="0"/>
        <w:spacing w:line="300" w:lineRule="auto"/>
        <w:rPr>
          <w:color w:val="FF0000"/>
          <w:sz w:val="18"/>
          <w:szCs w:val="18"/>
        </w:rPr>
      </w:pPr>
      <w:r>
        <w:rPr>
          <w:rFonts w:hint="eastAsia"/>
          <w:color w:val="FF0000"/>
          <w:sz w:val="18"/>
          <w:szCs w:val="18"/>
        </w:rPr>
        <w:t>参考文献格式详见《国防科技大学学报》参考文献著录规范与实例。</w:t>
      </w:r>
    </w:p>
    <w:sectPr>
      <w:type w:val="continuous"/>
      <w:pgSz w:w="11906" w:h="16838"/>
      <w:pgMar w:top="1418" w:right="1418" w:bottom="1418" w:left="1418" w:header="851" w:footer="992" w:gutter="0"/>
      <w:cols w:space="420" w:num="2"/>
      <w:docGrid w:type="linesAndChars" w:linePitch="304" w:charSpace="-8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TJ-PK74820000070-Identity-H">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Style w:val="15"/>
      </w:rPr>
      <w:fldChar w:fldCharType="begin"/>
    </w:r>
    <w:r>
      <w:rPr>
        <w:rStyle w:val="15"/>
      </w:rPr>
      <w:instrText xml:space="preserve"> PAGE </w:instrText>
    </w:r>
    <w:r>
      <w:rPr>
        <w:rStyle w:val="15"/>
      </w:rPr>
      <w:fldChar w:fldCharType="separate"/>
    </w:r>
    <w:r>
      <w:rPr>
        <w:rStyle w:val="15"/>
      </w:rPr>
      <w:t>3</w:t>
    </w:r>
    <w:r>
      <w:rPr>
        <w:rStyle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autoSpaceDE w:val="0"/>
        <w:autoSpaceDN w:val="0"/>
        <w:adjustRightInd w:val="0"/>
        <w:jc w:val="left"/>
        <w:rPr>
          <w:rFonts w:ascii="宋体" w:cs="宋体"/>
          <w:color w:val="000000"/>
          <w:kern w:val="0"/>
          <w:sz w:val="18"/>
          <w:szCs w:val="18"/>
        </w:rPr>
      </w:pPr>
      <w:r>
        <w:rPr>
          <w:rFonts w:ascii="宋体" w:cs="宋体"/>
          <w:color w:val="000000"/>
          <w:kern w:val="0"/>
          <w:sz w:val="18"/>
          <w:szCs w:val="18"/>
        </w:rPr>
        <w:sym w:font="Symbol" w:char="F02A"/>
      </w:r>
      <w:r>
        <w:rPr>
          <w:rFonts w:hint="eastAsia" w:ascii="宋体" w:cs="宋体"/>
          <w:b/>
          <w:color w:val="000000"/>
          <w:kern w:val="0"/>
          <w:sz w:val="18"/>
          <w:szCs w:val="18"/>
        </w:rPr>
        <w:t>收稿日期：</w:t>
      </w:r>
      <w:r>
        <w:rPr>
          <w:rFonts w:ascii="宋体" w:cs="宋体"/>
          <w:color w:val="000000"/>
          <w:kern w:val="0"/>
          <w:sz w:val="18"/>
          <w:szCs w:val="18"/>
        </w:rPr>
        <w:t>2019-02-25</w:t>
      </w:r>
      <w:r>
        <w:rPr>
          <w:rFonts w:hint="eastAsia" w:ascii="宋体" w:cs="宋体"/>
          <w:color w:val="000000"/>
          <w:kern w:val="0"/>
          <w:sz w:val="18"/>
          <w:szCs w:val="18"/>
        </w:rPr>
        <w:t xml:space="preserve">           </w:t>
      </w:r>
      <w:r>
        <w:rPr>
          <w:rFonts w:hint="eastAsia" w:ascii="宋体" w:cs="宋体"/>
          <w:color w:val="FF0000"/>
          <w:kern w:val="0"/>
          <w:sz w:val="18"/>
          <w:szCs w:val="18"/>
        </w:rPr>
        <w:t>（小五）</w:t>
      </w:r>
    </w:p>
    <w:p>
      <w:pPr>
        <w:autoSpaceDE w:val="0"/>
        <w:autoSpaceDN w:val="0"/>
        <w:adjustRightInd w:val="0"/>
        <w:ind w:left="8134" w:hanging="8312" w:hangingChars="4600"/>
        <w:jc w:val="left"/>
        <w:rPr>
          <w:rFonts w:ascii="宋体" w:cs="宋体"/>
          <w:color w:val="000000"/>
          <w:kern w:val="0"/>
          <w:sz w:val="18"/>
          <w:szCs w:val="18"/>
        </w:rPr>
      </w:pPr>
      <w:r>
        <w:rPr>
          <w:rFonts w:hint="eastAsia" w:ascii="宋体" w:cs="宋体"/>
          <w:b/>
          <w:color w:val="000000"/>
          <w:kern w:val="0"/>
          <w:sz w:val="18"/>
          <w:szCs w:val="18"/>
        </w:rPr>
        <w:t>基金项目：</w:t>
      </w:r>
      <w:r>
        <w:rPr>
          <w:rFonts w:hint="eastAsia" w:ascii="宋体" w:cs="宋体"/>
          <w:color w:val="000000"/>
          <w:kern w:val="0"/>
          <w:sz w:val="18"/>
          <w:szCs w:val="18"/>
        </w:rPr>
        <w:t>国家自然科学基金资助项目（</w:t>
      </w:r>
      <w:r>
        <w:rPr>
          <w:rFonts w:ascii="宋体" w:cs="宋体"/>
          <w:color w:val="000000"/>
          <w:kern w:val="0"/>
          <w:sz w:val="18"/>
          <w:szCs w:val="18"/>
        </w:rPr>
        <w:t>61671233</w:t>
      </w:r>
      <w:r>
        <w:rPr>
          <w:rFonts w:hint="eastAsia" w:ascii="宋体" w:cs="宋体"/>
          <w:color w:val="000000"/>
          <w:kern w:val="0"/>
          <w:sz w:val="18"/>
          <w:szCs w:val="18"/>
        </w:rPr>
        <w:t>，6</w:t>
      </w:r>
      <w:r>
        <w:rPr>
          <w:rFonts w:ascii="宋体" w:cs="宋体"/>
          <w:color w:val="000000"/>
          <w:kern w:val="0"/>
          <w:sz w:val="18"/>
          <w:szCs w:val="18"/>
        </w:rPr>
        <w:t>1801208</w:t>
      </w:r>
      <w:r>
        <w:rPr>
          <w:rFonts w:hint="eastAsia" w:ascii="宋体" w:cs="宋体"/>
          <w:color w:val="000000"/>
          <w:kern w:val="0"/>
          <w:sz w:val="18"/>
          <w:szCs w:val="18"/>
        </w:rPr>
        <w:t>）；国家部委基金资助项目（</w:t>
      </w:r>
      <w:r>
        <w:rPr>
          <w:rFonts w:ascii="宋体" w:cs="宋体"/>
          <w:color w:val="000000"/>
          <w:kern w:val="0"/>
          <w:sz w:val="18"/>
          <w:szCs w:val="18"/>
        </w:rPr>
        <w:t>51304010206</w:t>
      </w:r>
      <w:r>
        <w:rPr>
          <w:rFonts w:hint="eastAsia" w:ascii="宋体" w:cs="宋体"/>
          <w:color w:val="000000"/>
          <w:kern w:val="0"/>
          <w:sz w:val="18"/>
          <w:szCs w:val="18"/>
        </w:rPr>
        <w:t>）</w:t>
      </w:r>
      <w:r>
        <w:rPr>
          <w:rFonts w:hint="eastAsia" w:ascii="宋体" w:cs="宋体"/>
          <w:color w:val="FF0000"/>
          <w:kern w:val="0"/>
          <w:sz w:val="18"/>
          <w:szCs w:val="18"/>
        </w:rPr>
        <w:t>（小五）</w:t>
      </w:r>
    </w:p>
    <w:p>
      <w:pPr>
        <w:autoSpaceDE w:val="0"/>
        <w:autoSpaceDN w:val="0"/>
        <w:adjustRightInd w:val="0"/>
        <w:jc w:val="left"/>
        <w:rPr>
          <w:color w:val="000000"/>
          <w:kern w:val="0"/>
          <w:sz w:val="18"/>
          <w:szCs w:val="18"/>
        </w:rPr>
      </w:pPr>
      <w:r>
        <w:rPr>
          <w:rFonts w:hint="eastAsia" w:ascii="宋体" w:cs="宋体"/>
          <w:b/>
          <w:color w:val="000000"/>
          <w:kern w:val="0"/>
          <w:sz w:val="18"/>
          <w:szCs w:val="18"/>
        </w:rPr>
        <w:t>作者简介：</w:t>
      </w:r>
      <w:r>
        <w:rPr>
          <w:rFonts w:hint="eastAsia"/>
          <w:color w:val="000000"/>
          <w:kern w:val="0"/>
          <w:sz w:val="18"/>
          <w:szCs w:val="18"/>
        </w:rPr>
        <w:t>梁厘子</w:t>
      </w:r>
      <w:r>
        <w:rPr>
          <w:color w:val="000000"/>
          <w:kern w:val="0"/>
          <w:sz w:val="18"/>
          <w:szCs w:val="18"/>
        </w:rPr>
        <w:t>（1995</w:t>
      </w:r>
      <w:r>
        <w:rPr>
          <w:rFonts w:hint="eastAsia"/>
          <w:color w:val="000000"/>
          <w:kern w:val="0"/>
          <w:sz w:val="18"/>
          <w:szCs w:val="18"/>
        </w:rPr>
        <w:t>—</w:t>
      </w:r>
      <w:r>
        <w:rPr>
          <w:color w:val="000000"/>
          <w:kern w:val="0"/>
          <w:sz w:val="18"/>
          <w:szCs w:val="18"/>
        </w:rPr>
        <w:t>），女，</w:t>
      </w:r>
      <w:r>
        <w:rPr>
          <w:rFonts w:hint="eastAsia" w:ascii="Calibri" w:eastAsia="宋体"/>
          <w:color w:val="000000"/>
          <w:kern w:val="0"/>
          <w:sz w:val="18"/>
          <w:szCs w:val="18"/>
          <w:lang w:val="en-US" w:eastAsia="zh-CN"/>
        </w:rPr>
        <w:t>湖南长沙人</w:t>
      </w:r>
      <w:r>
        <w:rPr>
          <w:color w:val="000000"/>
          <w:kern w:val="0"/>
          <w:sz w:val="18"/>
          <w:szCs w:val="18"/>
        </w:rPr>
        <w:t>，博士研究生，E-mail：</w:t>
      </w:r>
      <w:r>
        <w:rPr>
          <w:rFonts w:hint="eastAsia"/>
          <w:color w:val="000000"/>
          <w:kern w:val="0"/>
          <w:sz w:val="18"/>
          <w:szCs w:val="18"/>
        </w:rPr>
        <w:t>liziliang@</w:t>
      </w:r>
      <w:r>
        <w:rPr>
          <w:color w:val="000000"/>
          <w:kern w:val="0"/>
          <w:sz w:val="18"/>
          <w:szCs w:val="18"/>
        </w:rPr>
        <w:t>nju.edu.cn；</w:t>
      </w:r>
      <w:r>
        <w:rPr>
          <w:color w:val="FF0000"/>
          <w:kern w:val="0"/>
          <w:sz w:val="18"/>
          <w:szCs w:val="18"/>
        </w:rPr>
        <w:t>（小五）</w:t>
      </w:r>
    </w:p>
    <w:p>
      <w:pPr>
        <w:autoSpaceDE w:val="0"/>
        <w:autoSpaceDN w:val="0"/>
        <w:adjustRightInd w:val="0"/>
        <w:jc w:val="left"/>
        <w:rPr>
          <w:color w:val="FF0000"/>
          <w:kern w:val="0"/>
          <w:sz w:val="18"/>
          <w:szCs w:val="18"/>
        </w:rPr>
      </w:pPr>
      <w:r>
        <w:rPr>
          <w:color w:val="000000"/>
          <w:kern w:val="0"/>
          <w:sz w:val="18"/>
          <w:szCs w:val="18"/>
        </w:rPr>
        <w:t xml:space="preserve">          </w:t>
      </w:r>
      <w:r>
        <w:rPr>
          <w:rFonts w:hint="eastAsia"/>
          <w:color w:val="000000"/>
          <w:kern w:val="0"/>
          <w:sz w:val="18"/>
          <w:szCs w:val="18"/>
        </w:rPr>
        <w:t>何小白</w:t>
      </w:r>
      <w:r>
        <w:rPr>
          <w:color w:val="000000"/>
          <w:kern w:val="0"/>
          <w:sz w:val="18"/>
          <w:szCs w:val="18"/>
        </w:rPr>
        <w:t>（通信作者），男，</w:t>
      </w:r>
      <w:r>
        <w:rPr>
          <w:rFonts w:hint="eastAsia"/>
          <w:color w:val="000000"/>
          <w:kern w:val="0"/>
          <w:sz w:val="18"/>
          <w:szCs w:val="18"/>
          <w:lang w:val="en-US" w:eastAsia="zh-CN"/>
        </w:rPr>
        <w:t>山东青岛人，</w:t>
      </w:r>
      <w:r>
        <w:rPr>
          <w:color w:val="000000"/>
          <w:kern w:val="0"/>
          <w:sz w:val="18"/>
          <w:szCs w:val="18"/>
        </w:rPr>
        <w:t>教授，博士，博士生导师，E-mail：</w:t>
      </w:r>
      <w:r>
        <w:rPr>
          <w:rFonts w:hint="eastAsia"/>
          <w:color w:val="000000"/>
          <w:kern w:val="0"/>
          <w:sz w:val="18"/>
          <w:szCs w:val="18"/>
        </w:rPr>
        <w:fldChar w:fldCharType="begin"/>
      </w:r>
      <w:r>
        <w:rPr>
          <w:rFonts w:hint="eastAsia"/>
          <w:color w:val="000000"/>
          <w:kern w:val="0"/>
          <w:sz w:val="18"/>
          <w:szCs w:val="18"/>
        </w:rPr>
        <w:instrText xml:space="preserve"> HYPERLINK "mailto:hexb@163.com（小五）" </w:instrText>
      </w:r>
      <w:r>
        <w:rPr>
          <w:rFonts w:hint="eastAsia"/>
          <w:color w:val="000000"/>
          <w:kern w:val="0"/>
          <w:sz w:val="18"/>
          <w:szCs w:val="18"/>
        </w:rPr>
        <w:fldChar w:fldCharType="separate"/>
      </w:r>
      <w:r>
        <w:rPr>
          <w:rStyle w:val="16"/>
          <w:rFonts w:hint="eastAsia"/>
          <w:color w:val="000000"/>
          <w:kern w:val="0"/>
          <w:sz w:val="18"/>
          <w:szCs w:val="18"/>
        </w:rPr>
        <w:t>hexb</w:t>
      </w:r>
      <w:r>
        <w:rPr>
          <w:rStyle w:val="16"/>
          <w:color w:val="000000"/>
          <w:kern w:val="0"/>
          <w:sz w:val="18"/>
          <w:szCs w:val="18"/>
        </w:rPr>
        <w:t>@163.com</w:t>
      </w:r>
      <w:r>
        <w:rPr>
          <w:rStyle w:val="16"/>
          <w:color w:val="FF0000"/>
          <w:kern w:val="0"/>
          <w:sz w:val="18"/>
          <w:szCs w:val="18"/>
        </w:rPr>
        <w:t>（小五）</w:t>
      </w:r>
      <w:r>
        <w:rPr>
          <w:rFonts w:hint="eastAsia"/>
          <w:color w:val="000000"/>
          <w:kern w:val="0"/>
          <w:sz w:val="18"/>
          <w:szCs w:val="18"/>
        </w:rPr>
        <w:fldChar w:fldCharType="end"/>
      </w:r>
    </w:p>
    <w:p>
      <w:pPr>
        <w:autoSpaceDE w:val="0"/>
        <w:autoSpaceDN w:val="0"/>
        <w:adjustRightInd w:val="0"/>
        <w:ind w:firstLine="900" w:firstLineChars="500"/>
        <w:jc w:val="left"/>
        <w:rPr>
          <w:rFonts w:hint="eastAsia" w:eastAsia="宋体"/>
          <w:color w:val="FF0000"/>
          <w:kern w:val="0"/>
          <w:sz w:val="18"/>
          <w:szCs w:val="18"/>
          <w:lang w:eastAsia="zh-CN"/>
        </w:rPr>
      </w:pPr>
      <w:r>
        <w:rPr>
          <w:rFonts w:hint="eastAsia"/>
          <w:color w:val="FF0000"/>
          <w:kern w:val="0"/>
          <w:sz w:val="18"/>
          <w:szCs w:val="18"/>
          <w:lang w:eastAsia="zh-CN"/>
        </w:rPr>
        <w:t>（</w:t>
      </w:r>
      <w:r>
        <w:rPr>
          <w:rFonts w:hint="eastAsia"/>
          <w:color w:val="FF0000"/>
          <w:kern w:val="0"/>
          <w:sz w:val="18"/>
          <w:szCs w:val="18"/>
          <w:lang w:val="en-US" w:eastAsia="zh-CN"/>
        </w:rPr>
        <w:t>简介</w:t>
      </w:r>
      <w:bookmarkStart w:id="2" w:name="_GoBack"/>
      <w:bookmarkEnd w:id="2"/>
      <w:r>
        <w:rPr>
          <w:rFonts w:hint="eastAsia"/>
          <w:color w:val="FF0000"/>
          <w:kern w:val="0"/>
          <w:sz w:val="18"/>
          <w:szCs w:val="18"/>
          <w:lang w:val="en-US" w:eastAsia="zh-CN"/>
        </w:rPr>
        <w:t>包括：性别，籍贯，职称，学历，硕士生导师/博士生导师，邮箱</w:t>
      </w:r>
      <w:r>
        <w:rPr>
          <w:rFonts w:hint="eastAsia"/>
          <w:color w:val="FF0000"/>
          <w:kern w:val="0"/>
          <w:sz w:val="18"/>
          <w:szCs w:val="18"/>
          <w:lang w:eastAsia="zh-C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0069A0"/>
    <w:multiLevelType w:val="multilevel"/>
    <w:tmpl w:val="660069A0"/>
    <w:lvl w:ilvl="0" w:tentative="0">
      <w:start w:val="1"/>
      <w:numFmt w:val="decimal"/>
      <w:lvlText w:val="[%1]"/>
      <w:lvlJc w:val="left"/>
      <w:pPr>
        <w:tabs>
          <w:tab w:val="left" w:pos="840"/>
        </w:tabs>
        <w:ind w:left="84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3"/>
  <w:drawingGridVerticalSpacing w:val="152"/>
  <w:displayHorizontalDrawingGridEvery w:val="0"/>
  <w:displayVerticalDrawingGridEvery w:val="2"/>
  <w:characterSpacingControl w:val="compressPunctuation"/>
  <w:footnotePr>
    <w:numFmt w:val="decimalEnclosedCircleChines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wNWIzMzYxYjUxOGUzY2ZiNTAxOTJhNWYwM2E4MDYifQ=="/>
  </w:docVars>
  <w:rsids>
    <w:rsidRoot w:val="00172A27"/>
    <w:rsid w:val="00040F18"/>
    <w:rsid w:val="000428D9"/>
    <w:rsid w:val="00063DC2"/>
    <w:rsid w:val="000825FC"/>
    <w:rsid w:val="00090902"/>
    <w:rsid w:val="000A4F9E"/>
    <w:rsid w:val="000A6152"/>
    <w:rsid w:val="000C5C95"/>
    <w:rsid w:val="000E2569"/>
    <w:rsid w:val="000E423E"/>
    <w:rsid w:val="000E4832"/>
    <w:rsid w:val="000F0B10"/>
    <w:rsid w:val="000F3CE4"/>
    <w:rsid w:val="000F4606"/>
    <w:rsid w:val="00101125"/>
    <w:rsid w:val="0011276C"/>
    <w:rsid w:val="00115381"/>
    <w:rsid w:val="001168C0"/>
    <w:rsid w:val="00131010"/>
    <w:rsid w:val="001312CB"/>
    <w:rsid w:val="001423C0"/>
    <w:rsid w:val="0014257A"/>
    <w:rsid w:val="00145007"/>
    <w:rsid w:val="0014583D"/>
    <w:rsid w:val="00152F00"/>
    <w:rsid w:val="00154B6E"/>
    <w:rsid w:val="001601C3"/>
    <w:rsid w:val="00165E7C"/>
    <w:rsid w:val="00186FE6"/>
    <w:rsid w:val="00187DD0"/>
    <w:rsid w:val="00194F1C"/>
    <w:rsid w:val="00197749"/>
    <w:rsid w:val="001A43D9"/>
    <w:rsid w:val="001B2D19"/>
    <w:rsid w:val="001C20B7"/>
    <w:rsid w:val="001D1FE9"/>
    <w:rsid w:val="001E6A9D"/>
    <w:rsid w:val="00207131"/>
    <w:rsid w:val="0022347F"/>
    <w:rsid w:val="00237661"/>
    <w:rsid w:val="002416E4"/>
    <w:rsid w:val="0024183E"/>
    <w:rsid w:val="00252CD3"/>
    <w:rsid w:val="002534D2"/>
    <w:rsid w:val="00254393"/>
    <w:rsid w:val="0025467C"/>
    <w:rsid w:val="0026349A"/>
    <w:rsid w:val="0027060F"/>
    <w:rsid w:val="0028578C"/>
    <w:rsid w:val="00293962"/>
    <w:rsid w:val="002B6FCE"/>
    <w:rsid w:val="002E2BE1"/>
    <w:rsid w:val="002E3804"/>
    <w:rsid w:val="002F1367"/>
    <w:rsid w:val="002F3952"/>
    <w:rsid w:val="00301748"/>
    <w:rsid w:val="00326B7B"/>
    <w:rsid w:val="0033082F"/>
    <w:rsid w:val="00335431"/>
    <w:rsid w:val="00336214"/>
    <w:rsid w:val="00336869"/>
    <w:rsid w:val="00336D27"/>
    <w:rsid w:val="00350970"/>
    <w:rsid w:val="003573C4"/>
    <w:rsid w:val="00364BA5"/>
    <w:rsid w:val="00366AF4"/>
    <w:rsid w:val="00385340"/>
    <w:rsid w:val="003A29C4"/>
    <w:rsid w:val="003A571E"/>
    <w:rsid w:val="003A7362"/>
    <w:rsid w:val="003B4F10"/>
    <w:rsid w:val="003C1A91"/>
    <w:rsid w:val="003C41AD"/>
    <w:rsid w:val="003C5ADB"/>
    <w:rsid w:val="003E735F"/>
    <w:rsid w:val="003F27D9"/>
    <w:rsid w:val="003F3B93"/>
    <w:rsid w:val="004024DD"/>
    <w:rsid w:val="0041455E"/>
    <w:rsid w:val="00426E91"/>
    <w:rsid w:val="00427107"/>
    <w:rsid w:val="00450D3D"/>
    <w:rsid w:val="00466363"/>
    <w:rsid w:val="00467403"/>
    <w:rsid w:val="00481A52"/>
    <w:rsid w:val="00485C2E"/>
    <w:rsid w:val="0049161C"/>
    <w:rsid w:val="004A5D56"/>
    <w:rsid w:val="004B4D90"/>
    <w:rsid w:val="004B7B21"/>
    <w:rsid w:val="004D159A"/>
    <w:rsid w:val="004E35EF"/>
    <w:rsid w:val="004E7192"/>
    <w:rsid w:val="00505564"/>
    <w:rsid w:val="005146C8"/>
    <w:rsid w:val="0051762B"/>
    <w:rsid w:val="00517E3A"/>
    <w:rsid w:val="00522CAB"/>
    <w:rsid w:val="0052662A"/>
    <w:rsid w:val="00527E4E"/>
    <w:rsid w:val="0054377F"/>
    <w:rsid w:val="00571889"/>
    <w:rsid w:val="005B05F2"/>
    <w:rsid w:val="005B318D"/>
    <w:rsid w:val="005B3294"/>
    <w:rsid w:val="005B7EBE"/>
    <w:rsid w:val="005C2536"/>
    <w:rsid w:val="005D2E86"/>
    <w:rsid w:val="005D2EC5"/>
    <w:rsid w:val="005E0191"/>
    <w:rsid w:val="005E0478"/>
    <w:rsid w:val="005E2078"/>
    <w:rsid w:val="005E46FA"/>
    <w:rsid w:val="005E7765"/>
    <w:rsid w:val="005F2D4B"/>
    <w:rsid w:val="006027C5"/>
    <w:rsid w:val="00604852"/>
    <w:rsid w:val="0061708F"/>
    <w:rsid w:val="006301BA"/>
    <w:rsid w:val="00634183"/>
    <w:rsid w:val="006458BD"/>
    <w:rsid w:val="006464CA"/>
    <w:rsid w:val="00651959"/>
    <w:rsid w:val="00656DCE"/>
    <w:rsid w:val="006618B3"/>
    <w:rsid w:val="0069418F"/>
    <w:rsid w:val="006A7360"/>
    <w:rsid w:val="006B58C9"/>
    <w:rsid w:val="00707156"/>
    <w:rsid w:val="00720AEE"/>
    <w:rsid w:val="007219F4"/>
    <w:rsid w:val="007258FA"/>
    <w:rsid w:val="00734BF9"/>
    <w:rsid w:val="007414B9"/>
    <w:rsid w:val="00741B85"/>
    <w:rsid w:val="00770DB5"/>
    <w:rsid w:val="00774E2F"/>
    <w:rsid w:val="00782522"/>
    <w:rsid w:val="00783CF0"/>
    <w:rsid w:val="00790DE3"/>
    <w:rsid w:val="007950FC"/>
    <w:rsid w:val="007A4157"/>
    <w:rsid w:val="007A6B69"/>
    <w:rsid w:val="007A7B87"/>
    <w:rsid w:val="007C46F5"/>
    <w:rsid w:val="007D31CF"/>
    <w:rsid w:val="008032BD"/>
    <w:rsid w:val="00803DD2"/>
    <w:rsid w:val="00825182"/>
    <w:rsid w:val="00834075"/>
    <w:rsid w:val="0083657D"/>
    <w:rsid w:val="00836B79"/>
    <w:rsid w:val="008430AC"/>
    <w:rsid w:val="0084724C"/>
    <w:rsid w:val="00871024"/>
    <w:rsid w:val="00872CAD"/>
    <w:rsid w:val="008743D5"/>
    <w:rsid w:val="00874EF9"/>
    <w:rsid w:val="008868C4"/>
    <w:rsid w:val="00892538"/>
    <w:rsid w:val="00894DA4"/>
    <w:rsid w:val="008C0A7A"/>
    <w:rsid w:val="008F0B2C"/>
    <w:rsid w:val="008F1281"/>
    <w:rsid w:val="008F5208"/>
    <w:rsid w:val="00903578"/>
    <w:rsid w:val="00925EE4"/>
    <w:rsid w:val="009535E7"/>
    <w:rsid w:val="009645CE"/>
    <w:rsid w:val="009750DC"/>
    <w:rsid w:val="00975FFC"/>
    <w:rsid w:val="0098301D"/>
    <w:rsid w:val="00991938"/>
    <w:rsid w:val="00995C42"/>
    <w:rsid w:val="009A57D0"/>
    <w:rsid w:val="009A7FEF"/>
    <w:rsid w:val="009C4121"/>
    <w:rsid w:val="009C7CB6"/>
    <w:rsid w:val="009D30F5"/>
    <w:rsid w:val="009D62EB"/>
    <w:rsid w:val="009E11FE"/>
    <w:rsid w:val="009E19A4"/>
    <w:rsid w:val="009E77D7"/>
    <w:rsid w:val="009E7E26"/>
    <w:rsid w:val="009F2118"/>
    <w:rsid w:val="00A23326"/>
    <w:rsid w:val="00A23AC7"/>
    <w:rsid w:val="00A27AB5"/>
    <w:rsid w:val="00A31577"/>
    <w:rsid w:val="00A323FE"/>
    <w:rsid w:val="00A3724C"/>
    <w:rsid w:val="00A44634"/>
    <w:rsid w:val="00A473D6"/>
    <w:rsid w:val="00A507CD"/>
    <w:rsid w:val="00A52D26"/>
    <w:rsid w:val="00A81FB5"/>
    <w:rsid w:val="00A84457"/>
    <w:rsid w:val="00A87044"/>
    <w:rsid w:val="00A92414"/>
    <w:rsid w:val="00A974A2"/>
    <w:rsid w:val="00AA21F4"/>
    <w:rsid w:val="00AC52E5"/>
    <w:rsid w:val="00AD2D9D"/>
    <w:rsid w:val="00AD3965"/>
    <w:rsid w:val="00AD5264"/>
    <w:rsid w:val="00AD64B0"/>
    <w:rsid w:val="00B06A39"/>
    <w:rsid w:val="00B21ABB"/>
    <w:rsid w:val="00B2591B"/>
    <w:rsid w:val="00B52C6E"/>
    <w:rsid w:val="00B54486"/>
    <w:rsid w:val="00B635DB"/>
    <w:rsid w:val="00B720FC"/>
    <w:rsid w:val="00B93EF0"/>
    <w:rsid w:val="00B94D03"/>
    <w:rsid w:val="00B976C1"/>
    <w:rsid w:val="00BA4DE2"/>
    <w:rsid w:val="00BA743B"/>
    <w:rsid w:val="00BB3780"/>
    <w:rsid w:val="00BB4339"/>
    <w:rsid w:val="00BB5856"/>
    <w:rsid w:val="00BC2D71"/>
    <w:rsid w:val="00BC713B"/>
    <w:rsid w:val="00BC7C33"/>
    <w:rsid w:val="00BD0D8C"/>
    <w:rsid w:val="00BD3240"/>
    <w:rsid w:val="00BD67CD"/>
    <w:rsid w:val="00BF14D2"/>
    <w:rsid w:val="00BF4B6E"/>
    <w:rsid w:val="00BF4CE1"/>
    <w:rsid w:val="00C036A2"/>
    <w:rsid w:val="00C03E8E"/>
    <w:rsid w:val="00C2033C"/>
    <w:rsid w:val="00C2172C"/>
    <w:rsid w:val="00C22B7C"/>
    <w:rsid w:val="00C340FC"/>
    <w:rsid w:val="00C35E62"/>
    <w:rsid w:val="00C42D98"/>
    <w:rsid w:val="00C42F71"/>
    <w:rsid w:val="00C43F6C"/>
    <w:rsid w:val="00C53059"/>
    <w:rsid w:val="00C6187F"/>
    <w:rsid w:val="00C63DBF"/>
    <w:rsid w:val="00C744C3"/>
    <w:rsid w:val="00C85D5B"/>
    <w:rsid w:val="00C92A34"/>
    <w:rsid w:val="00CA266E"/>
    <w:rsid w:val="00CB6251"/>
    <w:rsid w:val="00CB7CA2"/>
    <w:rsid w:val="00CC122E"/>
    <w:rsid w:val="00CC45CA"/>
    <w:rsid w:val="00CC70D6"/>
    <w:rsid w:val="00CD35CD"/>
    <w:rsid w:val="00CE26F3"/>
    <w:rsid w:val="00CF7443"/>
    <w:rsid w:val="00D006C1"/>
    <w:rsid w:val="00D050CB"/>
    <w:rsid w:val="00D06B9B"/>
    <w:rsid w:val="00D12735"/>
    <w:rsid w:val="00D20B18"/>
    <w:rsid w:val="00D2247D"/>
    <w:rsid w:val="00D35DBA"/>
    <w:rsid w:val="00D360BA"/>
    <w:rsid w:val="00D40F14"/>
    <w:rsid w:val="00D53862"/>
    <w:rsid w:val="00D621B2"/>
    <w:rsid w:val="00D760B8"/>
    <w:rsid w:val="00D846A0"/>
    <w:rsid w:val="00D84B32"/>
    <w:rsid w:val="00D85134"/>
    <w:rsid w:val="00D9208A"/>
    <w:rsid w:val="00D929EF"/>
    <w:rsid w:val="00D96110"/>
    <w:rsid w:val="00D96C41"/>
    <w:rsid w:val="00DB199C"/>
    <w:rsid w:val="00DB49EA"/>
    <w:rsid w:val="00DC0A9C"/>
    <w:rsid w:val="00DD3609"/>
    <w:rsid w:val="00DE3DD8"/>
    <w:rsid w:val="00E03E35"/>
    <w:rsid w:val="00E05C96"/>
    <w:rsid w:val="00E21991"/>
    <w:rsid w:val="00E2353C"/>
    <w:rsid w:val="00E32FDC"/>
    <w:rsid w:val="00E464C3"/>
    <w:rsid w:val="00E53EB6"/>
    <w:rsid w:val="00E624D0"/>
    <w:rsid w:val="00E65DC2"/>
    <w:rsid w:val="00E97CF1"/>
    <w:rsid w:val="00E97F54"/>
    <w:rsid w:val="00EA0D77"/>
    <w:rsid w:val="00EB6D53"/>
    <w:rsid w:val="00EC7E2A"/>
    <w:rsid w:val="00EF686B"/>
    <w:rsid w:val="00F11FD4"/>
    <w:rsid w:val="00F34E0A"/>
    <w:rsid w:val="00F42006"/>
    <w:rsid w:val="00F433EE"/>
    <w:rsid w:val="00F50104"/>
    <w:rsid w:val="00F75CA5"/>
    <w:rsid w:val="00F8014E"/>
    <w:rsid w:val="00FA2673"/>
    <w:rsid w:val="00FB3366"/>
    <w:rsid w:val="00FC3587"/>
    <w:rsid w:val="00FC5D72"/>
    <w:rsid w:val="00FD6BCF"/>
    <w:rsid w:val="00FE785B"/>
    <w:rsid w:val="0EE21571"/>
    <w:rsid w:val="16E739D2"/>
    <w:rsid w:val="32581D5F"/>
    <w:rsid w:val="3935345D"/>
    <w:rsid w:val="40F26D3D"/>
    <w:rsid w:val="4BE63BFF"/>
    <w:rsid w:val="4C5F70AB"/>
    <w:rsid w:val="58B01307"/>
    <w:rsid w:val="651B74E2"/>
    <w:rsid w:val="73041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0"/>
    <w:pPr>
      <w:keepNext/>
      <w:keepLines/>
      <w:spacing w:before="340" w:after="330" w:line="578" w:lineRule="auto"/>
      <w:outlineLvl w:val="0"/>
    </w:pPr>
    <w:rPr>
      <w:b/>
      <w:bCs/>
      <w:kern w:val="44"/>
      <w:sz w:val="44"/>
      <w:szCs w:val="44"/>
      <w:lang w:val="zh-CN" w:eastAsia="zh-CN"/>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link w:val="23"/>
    <w:qFormat/>
    <w:uiPriority w:val="0"/>
    <w:rPr>
      <w:rFonts w:ascii="Arial" w:hAnsi="Arial" w:eastAsia="黑体"/>
      <w:kern w:val="0"/>
      <w:sz w:val="20"/>
      <w:szCs w:val="20"/>
      <w:lang w:val="zh-CN" w:eastAsia="zh-CN"/>
    </w:rPr>
  </w:style>
  <w:style w:type="paragraph" w:styleId="4">
    <w:name w:val="Document Map"/>
    <w:basedOn w:val="1"/>
    <w:link w:val="30"/>
    <w:semiHidden/>
    <w:unhideWhenUsed/>
    <w:qFormat/>
    <w:uiPriority w:val="99"/>
    <w:rPr>
      <w:rFonts w:ascii="宋体"/>
      <w:sz w:val="18"/>
      <w:szCs w:val="18"/>
      <w:lang w:val="zh-CN" w:eastAsia="zh-CN"/>
    </w:rPr>
  </w:style>
  <w:style w:type="paragraph" w:styleId="5">
    <w:name w:val="annotation text"/>
    <w:basedOn w:val="1"/>
    <w:link w:val="20"/>
    <w:qFormat/>
    <w:uiPriority w:val="0"/>
    <w:pPr>
      <w:jc w:val="left"/>
    </w:pPr>
    <w:rPr>
      <w:rFonts w:ascii="Calibri" w:hAnsi="Calibri"/>
      <w:kern w:val="0"/>
      <w:sz w:val="20"/>
      <w:szCs w:val="20"/>
      <w:lang w:val="zh-CN" w:eastAsia="zh-CN"/>
    </w:rPr>
  </w:style>
  <w:style w:type="paragraph" w:styleId="6">
    <w:name w:val="Body Text"/>
    <w:basedOn w:val="1"/>
    <w:link w:val="22"/>
    <w:qFormat/>
    <w:uiPriority w:val="0"/>
    <w:pPr>
      <w:tabs>
        <w:tab w:val="left" w:pos="357"/>
      </w:tabs>
      <w:overflowPunct w:val="0"/>
      <w:ind w:firstLine="200" w:firstLineChars="200"/>
    </w:pPr>
    <w:rPr>
      <w:kern w:val="0"/>
      <w:sz w:val="18"/>
      <w:szCs w:val="20"/>
      <w:lang w:val="zh-CN" w:eastAsia="zh-CN"/>
    </w:rPr>
  </w:style>
  <w:style w:type="paragraph" w:styleId="7">
    <w:name w:val="Balloon Text"/>
    <w:basedOn w:val="1"/>
    <w:link w:val="21"/>
    <w:semiHidden/>
    <w:unhideWhenUsed/>
    <w:qFormat/>
    <w:uiPriority w:val="99"/>
    <w:rPr>
      <w:kern w:val="0"/>
      <w:sz w:val="18"/>
      <w:szCs w:val="18"/>
      <w:lang w:val="zh-CN" w:eastAsia="zh-CN"/>
    </w:rPr>
  </w:style>
  <w:style w:type="paragraph" w:styleId="8">
    <w:name w:val="footer"/>
    <w:basedOn w:val="1"/>
    <w:link w:val="29"/>
    <w:unhideWhenUsed/>
    <w:qFormat/>
    <w:uiPriority w:val="99"/>
    <w:pPr>
      <w:tabs>
        <w:tab w:val="center" w:pos="4153"/>
        <w:tab w:val="right" w:pos="8306"/>
      </w:tabs>
      <w:snapToGrid w:val="0"/>
      <w:jc w:val="left"/>
    </w:pPr>
    <w:rPr>
      <w:sz w:val="18"/>
      <w:szCs w:val="18"/>
      <w:lang w:val="zh-CN" w:eastAsia="zh-CN"/>
    </w:rPr>
  </w:style>
  <w:style w:type="paragraph" w:styleId="9">
    <w:name w:val="header"/>
    <w:basedOn w:val="1"/>
    <w:link w:val="28"/>
    <w:unhideWhenUsed/>
    <w:qFormat/>
    <w:uiPriority w:val="99"/>
    <w:pPr>
      <w:pBdr>
        <w:bottom w:val="single" w:color="auto" w:sz="6" w:space="1"/>
      </w:pBdr>
      <w:tabs>
        <w:tab w:val="center" w:pos="4153"/>
        <w:tab w:val="right" w:pos="8306"/>
      </w:tabs>
      <w:snapToGrid w:val="0"/>
      <w:jc w:val="center"/>
    </w:pPr>
    <w:rPr>
      <w:sz w:val="18"/>
      <w:szCs w:val="18"/>
      <w:lang w:val="zh-CN" w:eastAsia="zh-CN"/>
    </w:rPr>
  </w:style>
  <w:style w:type="paragraph" w:styleId="10">
    <w:name w:val="footnote text"/>
    <w:basedOn w:val="1"/>
    <w:link w:val="19"/>
    <w:unhideWhenUsed/>
    <w:qFormat/>
    <w:uiPriority w:val="99"/>
    <w:pPr>
      <w:snapToGrid w:val="0"/>
      <w:jc w:val="left"/>
    </w:pPr>
    <w:rPr>
      <w:rFonts w:ascii="Calibri" w:hAnsi="Calibri"/>
      <w:kern w:val="0"/>
      <w:sz w:val="18"/>
      <w:szCs w:val="18"/>
      <w:lang w:val="zh-CN" w:eastAsia="zh-CN"/>
    </w:rPr>
  </w:style>
  <w:style w:type="paragraph" w:styleId="11">
    <w:name w:val="annotation subject"/>
    <w:basedOn w:val="5"/>
    <w:next w:val="5"/>
    <w:link w:val="27"/>
    <w:semiHidden/>
    <w:unhideWhenUsed/>
    <w:qFormat/>
    <w:uiPriority w:val="99"/>
    <w:rPr>
      <w:rFonts w:ascii="Times New Roman" w:hAnsi="Times New Roman"/>
      <w:b/>
      <w:bCs/>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styleId="18">
    <w:name w:val="footnote reference"/>
    <w:unhideWhenUsed/>
    <w:qFormat/>
    <w:uiPriority w:val="0"/>
    <w:rPr>
      <w:vertAlign w:val="superscript"/>
    </w:rPr>
  </w:style>
  <w:style w:type="character" w:customStyle="1" w:styleId="19">
    <w:name w:val="脚注文本 字符"/>
    <w:link w:val="10"/>
    <w:qFormat/>
    <w:uiPriority w:val="99"/>
    <w:rPr>
      <w:rFonts w:ascii="Calibri" w:hAnsi="Calibri" w:eastAsia="宋体" w:cs="Times New Roman"/>
      <w:sz w:val="18"/>
      <w:szCs w:val="18"/>
      <w:lang w:val="zh-CN" w:eastAsia="zh-CN"/>
    </w:rPr>
  </w:style>
  <w:style w:type="character" w:customStyle="1" w:styleId="20">
    <w:name w:val="批注文字 字符"/>
    <w:link w:val="5"/>
    <w:qFormat/>
    <w:uiPriority w:val="0"/>
    <w:rPr>
      <w:rFonts w:ascii="Calibri" w:hAnsi="Calibri" w:eastAsia="宋体" w:cs="Times New Roman"/>
      <w:lang w:val="zh-CN" w:eastAsia="zh-CN"/>
    </w:rPr>
  </w:style>
  <w:style w:type="character" w:customStyle="1" w:styleId="21">
    <w:name w:val="批注框文本 字符"/>
    <w:link w:val="7"/>
    <w:semiHidden/>
    <w:qFormat/>
    <w:uiPriority w:val="99"/>
    <w:rPr>
      <w:rFonts w:ascii="Times New Roman" w:hAnsi="Times New Roman" w:eastAsia="宋体" w:cs="Times New Roman"/>
      <w:sz w:val="18"/>
      <w:szCs w:val="18"/>
    </w:rPr>
  </w:style>
  <w:style w:type="character" w:customStyle="1" w:styleId="22">
    <w:name w:val="正文文本 字符"/>
    <w:link w:val="6"/>
    <w:qFormat/>
    <w:uiPriority w:val="0"/>
    <w:rPr>
      <w:rFonts w:ascii="Times New Roman" w:hAnsi="Times New Roman" w:eastAsia="宋体" w:cs="Times New Roman"/>
      <w:sz w:val="18"/>
      <w:szCs w:val="20"/>
    </w:rPr>
  </w:style>
  <w:style w:type="character" w:customStyle="1" w:styleId="23">
    <w:name w:val="题注 字符"/>
    <w:link w:val="3"/>
    <w:qFormat/>
    <w:uiPriority w:val="0"/>
    <w:rPr>
      <w:rFonts w:ascii="Arial" w:hAnsi="Arial" w:eastAsia="黑体" w:cs="Arial"/>
      <w:sz w:val="20"/>
      <w:szCs w:val="20"/>
    </w:rPr>
  </w:style>
  <w:style w:type="paragraph" w:customStyle="1" w:styleId="24">
    <w:name w:val="正文段落"/>
    <w:basedOn w:val="1"/>
    <w:qFormat/>
    <w:uiPriority w:val="0"/>
    <w:pPr>
      <w:adjustRightInd w:val="0"/>
      <w:snapToGrid w:val="0"/>
      <w:spacing w:line="300" w:lineRule="auto"/>
      <w:ind w:firstLine="360" w:firstLineChars="200"/>
    </w:pPr>
    <w:rPr>
      <w:color w:val="FF0000"/>
      <w:sz w:val="18"/>
      <w:szCs w:val="18"/>
    </w:rPr>
  </w:style>
  <w:style w:type="paragraph" w:customStyle="1" w:styleId="25">
    <w:name w:val="公式"/>
    <w:basedOn w:val="1"/>
    <w:next w:val="1"/>
    <w:link w:val="26"/>
    <w:qFormat/>
    <w:uiPriority w:val="0"/>
    <w:pPr>
      <w:tabs>
        <w:tab w:val="center" w:pos="4080"/>
        <w:tab w:val="right" w:pos="8280"/>
      </w:tabs>
      <w:adjustRightInd w:val="0"/>
      <w:snapToGrid w:val="0"/>
      <w:spacing w:before="152" w:after="160"/>
      <w:jc w:val="left"/>
      <w:textAlignment w:val="baseline"/>
    </w:pPr>
    <w:rPr>
      <w:kern w:val="0"/>
      <w:sz w:val="24"/>
      <w:lang w:val="zh-CN" w:eastAsia="zh-CN"/>
    </w:rPr>
  </w:style>
  <w:style w:type="character" w:customStyle="1" w:styleId="26">
    <w:name w:val="公式 Char Char"/>
    <w:link w:val="25"/>
    <w:qFormat/>
    <w:uiPriority w:val="0"/>
    <w:rPr>
      <w:rFonts w:ascii="Times New Roman" w:hAnsi="Times New Roman"/>
      <w:sz w:val="24"/>
      <w:szCs w:val="24"/>
      <w:lang w:val="zh-CN" w:eastAsia="zh-CN"/>
    </w:rPr>
  </w:style>
  <w:style w:type="character" w:customStyle="1" w:styleId="27">
    <w:name w:val="批注主题 字符"/>
    <w:link w:val="11"/>
    <w:semiHidden/>
    <w:qFormat/>
    <w:uiPriority w:val="99"/>
    <w:rPr>
      <w:rFonts w:ascii="Times New Roman" w:hAnsi="Times New Roman" w:eastAsia="宋体" w:cs="Times New Roman"/>
      <w:b/>
      <w:bCs/>
      <w:kern w:val="2"/>
      <w:sz w:val="21"/>
      <w:szCs w:val="24"/>
      <w:lang w:val="zh-CN" w:eastAsia="zh-CN"/>
    </w:rPr>
  </w:style>
  <w:style w:type="character" w:customStyle="1" w:styleId="28">
    <w:name w:val="页眉 字符"/>
    <w:link w:val="9"/>
    <w:qFormat/>
    <w:uiPriority w:val="99"/>
    <w:rPr>
      <w:rFonts w:ascii="Times New Roman" w:hAnsi="Times New Roman"/>
      <w:kern w:val="2"/>
      <w:sz w:val="18"/>
      <w:szCs w:val="18"/>
    </w:rPr>
  </w:style>
  <w:style w:type="character" w:customStyle="1" w:styleId="29">
    <w:name w:val="页脚 字符"/>
    <w:link w:val="8"/>
    <w:semiHidden/>
    <w:qFormat/>
    <w:uiPriority w:val="99"/>
    <w:rPr>
      <w:rFonts w:ascii="Times New Roman" w:hAnsi="Times New Roman"/>
      <w:kern w:val="2"/>
      <w:sz w:val="18"/>
      <w:szCs w:val="18"/>
    </w:rPr>
  </w:style>
  <w:style w:type="character" w:customStyle="1" w:styleId="30">
    <w:name w:val="文档结构图 字符"/>
    <w:link w:val="4"/>
    <w:semiHidden/>
    <w:qFormat/>
    <w:uiPriority w:val="99"/>
    <w:rPr>
      <w:rFonts w:ascii="宋体" w:hAnsi="Times New Roman"/>
      <w:kern w:val="2"/>
      <w:sz w:val="18"/>
      <w:szCs w:val="18"/>
    </w:rPr>
  </w:style>
  <w:style w:type="paragraph" w:customStyle="1" w:styleId="31">
    <w:name w:val="Char"/>
    <w:basedOn w:val="1"/>
    <w:qFormat/>
    <w:uiPriority w:val="0"/>
    <w:pPr>
      <w:tabs>
        <w:tab w:val="left" w:pos="360"/>
      </w:tabs>
      <w:ind w:firstLine="200" w:firstLineChars="200"/>
    </w:pPr>
    <w:rPr>
      <w:rFonts w:ascii="宋体" w:hAnsi="宋体" w:eastAsia="仿宋_GB2312"/>
      <w:sz w:val="28"/>
      <w:szCs w:val="28"/>
    </w:rPr>
  </w:style>
  <w:style w:type="paragraph" w:customStyle="1" w:styleId="32">
    <w:name w:val="图"/>
    <w:basedOn w:val="1"/>
    <w:qFormat/>
    <w:uiPriority w:val="0"/>
    <w:pPr>
      <w:jc w:val="center"/>
    </w:pPr>
    <w:rPr>
      <w:sz w:val="18"/>
      <w:szCs w:val="18"/>
    </w:rPr>
  </w:style>
  <w:style w:type="character" w:customStyle="1" w:styleId="33">
    <w:name w:val="标题 1 字符"/>
    <w:link w:val="2"/>
    <w:qFormat/>
    <w:uiPriority w:val="0"/>
    <w:rPr>
      <w:rFonts w:ascii="Times New Roman" w:hAnsi="Times New Roman"/>
      <w:b/>
      <w:bCs/>
      <w:kern w:val="44"/>
      <w:sz w:val="44"/>
      <w:szCs w:val="44"/>
    </w:rPr>
  </w:style>
  <w:style w:type="character" w:customStyle="1" w:styleId="34">
    <w:name w:val="Unresolved Mention"/>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1BEA4F-AAE5-49E8-9AE7-3DA3E48CE8BD}">
  <ds:schemaRefs/>
</ds:datastoreItem>
</file>

<file path=docProps/app.xml><?xml version="1.0" encoding="utf-8"?>
<Properties xmlns="http://schemas.openxmlformats.org/officeDocument/2006/extended-properties" xmlns:vt="http://schemas.openxmlformats.org/officeDocument/2006/docPropsVTypes">
  <Template>Normal</Template>
  <Company>pxb503</Company>
  <Pages>3</Pages>
  <Words>2391</Words>
  <Characters>4823</Characters>
  <Lines>39</Lines>
  <Paragraphs>11</Paragraphs>
  <TotalTime>3</TotalTime>
  <ScaleCrop>false</ScaleCrop>
  <LinksUpToDate>false</LinksUpToDate>
  <CharactersWithSpaces>5410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2020-09-15T09:43:00Z</dcterms:created>
  <dc:creator>wj</dc:creator>
  <cp:lastModifiedBy>yq</cp:lastModifiedBy>
  <cp:lastPrinted>2012-08-01T03:38:00Z</cp:lastPrinted>
  <dcterms:modified xsi:type="dcterms:W3CDTF">2022-10-10T01:39:08Z</dcterms:modified>
  <dc:title>基于动态松弛时间回收的节能实时调度算法（三号）</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EF1F048284BA47CEB117A6314B8416F9</vt:lpwstr>
  </property>
</Properties>
</file>